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B5F" w:rsidRPr="00D02614" w:rsidRDefault="001F45B1" w:rsidP="00F1355B">
      <w:pPr>
        <w:ind w:left="-142"/>
        <w:jc w:val="center"/>
        <w:rPr>
          <w:b/>
          <w:bCs/>
          <w:color w:val="000000"/>
          <w:sz w:val="4"/>
          <w:szCs w:val="4"/>
          <w:lang w:val="en-US" w:eastAsia="en-US"/>
        </w:rPr>
      </w:pPr>
      <w:r w:rsidRPr="00D02614">
        <w:rPr>
          <w:b/>
          <w:bCs/>
          <w:color w:val="000000"/>
          <w:sz w:val="4"/>
          <w:szCs w:val="4"/>
          <w:lang w:val="en-US" w:eastAsia="en-US"/>
        </w:rPr>
        <w:t xml:space="preserve"> </w:t>
      </w:r>
      <w:r w:rsidR="00A508EA">
        <w:rPr>
          <w:b/>
          <w:bCs/>
          <w:noProof/>
          <w:color w:val="000000"/>
          <w:sz w:val="4"/>
          <w:szCs w:val="4"/>
          <w:lang w:val="en-US" w:eastAsia="en-US"/>
        </w:rPr>
        <w:drawing>
          <wp:inline distT="0" distB="0" distL="0" distR="0">
            <wp:extent cx="1066800" cy="1457325"/>
            <wp:effectExtent l="19050" t="0" r="0" b="0"/>
            <wp:docPr id="2" name="Picture 3"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lestine_Logos-01-2-en.gif"/>
                    <pic:cNvPicPr>
                      <a:picLocks noChangeAspect="1" noChangeArrowheads="1"/>
                    </pic:cNvPicPr>
                  </pic:nvPicPr>
                  <pic:blipFill>
                    <a:blip r:embed="rId8"/>
                    <a:srcRect/>
                    <a:stretch>
                      <a:fillRect/>
                    </a:stretch>
                  </pic:blipFill>
                  <pic:spPr bwMode="auto">
                    <a:xfrm>
                      <a:off x="0" y="0"/>
                      <a:ext cx="1066800" cy="1457325"/>
                    </a:xfrm>
                    <a:prstGeom prst="rect">
                      <a:avLst/>
                    </a:prstGeom>
                    <a:noFill/>
                    <a:ln w="9525">
                      <a:noFill/>
                      <a:miter lim="800000"/>
                      <a:headEnd/>
                      <a:tailEnd/>
                    </a:ln>
                  </pic:spPr>
                </pic:pic>
              </a:graphicData>
            </a:graphic>
          </wp:inline>
        </w:drawing>
      </w:r>
    </w:p>
    <w:p w:rsidR="00FC6B5F" w:rsidRPr="00D02614" w:rsidRDefault="00FC6B5F" w:rsidP="00FC6B5F">
      <w:pPr>
        <w:keepNext/>
        <w:jc w:val="center"/>
        <w:outlineLvl w:val="0"/>
        <w:rPr>
          <w:b/>
          <w:bCs/>
          <w:color w:val="000000"/>
          <w:sz w:val="48"/>
          <w:szCs w:val="48"/>
          <w:lang w:val="en-US" w:eastAsia="en-US"/>
        </w:rPr>
      </w:pPr>
      <w:r w:rsidRPr="00D02614">
        <w:rPr>
          <w:b/>
          <w:bCs/>
          <w:color w:val="000000"/>
          <w:sz w:val="48"/>
          <w:szCs w:val="48"/>
          <w:lang w:val="en-US" w:eastAsia="en-US"/>
        </w:rPr>
        <w:t>State of Palestine</w:t>
      </w:r>
    </w:p>
    <w:p w:rsidR="00FC6B5F" w:rsidRPr="00D02614" w:rsidRDefault="00FC6B5F" w:rsidP="00FC6B5F">
      <w:pPr>
        <w:keepNext/>
        <w:jc w:val="center"/>
        <w:outlineLvl w:val="0"/>
        <w:rPr>
          <w:b/>
          <w:bCs/>
          <w:color w:val="000000"/>
          <w:sz w:val="52"/>
          <w:szCs w:val="52"/>
          <w:lang w:val="en-US" w:eastAsia="en-US"/>
        </w:rPr>
      </w:pPr>
      <w:r w:rsidRPr="00D02614">
        <w:rPr>
          <w:b/>
          <w:bCs/>
          <w:color w:val="000000"/>
          <w:sz w:val="52"/>
          <w:szCs w:val="52"/>
          <w:lang w:val="en-US" w:eastAsia="en-US"/>
        </w:rPr>
        <w:t>Palestinian Central Bureau of Statistics</w:t>
      </w:r>
    </w:p>
    <w:p w:rsidR="00332F62" w:rsidRDefault="00332F62" w:rsidP="00FC6B5F">
      <w:pPr>
        <w:ind w:right="-484"/>
        <w:jc w:val="center"/>
        <w:rPr>
          <w:b/>
          <w:bCs/>
          <w:color w:val="000000"/>
          <w:lang w:val="en-US"/>
        </w:rPr>
      </w:pPr>
    </w:p>
    <w:p w:rsidR="00934BA5" w:rsidRPr="00FC6B5F" w:rsidRDefault="00934BA5" w:rsidP="00FC6B5F">
      <w:pPr>
        <w:ind w:right="-484"/>
        <w:jc w:val="center"/>
        <w:rPr>
          <w:b/>
          <w:bCs/>
          <w:color w:val="000000"/>
          <w:lang w:val="en-US"/>
        </w:rPr>
      </w:pPr>
    </w:p>
    <w:p w:rsidR="00332F62" w:rsidRPr="00C11785" w:rsidRDefault="00332F62" w:rsidP="00332F62">
      <w:pPr>
        <w:jc w:val="center"/>
        <w:rPr>
          <w:b/>
          <w:bCs/>
          <w:color w:val="000000"/>
        </w:rPr>
      </w:pPr>
    </w:p>
    <w:p w:rsidR="00332F62" w:rsidRDefault="00332F62" w:rsidP="00216668">
      <w:pPr>
        <w:rPr>
          <w:b/>
          <w:bCs/>
          <w:noProof/>
          <w:color w:val="000000"/>
          <w:lang w:val="en-US"/>
        </w:rPr>
      </w:pPr>
    </w:p>
    <w:p w:rsidR="00216668" w:rsidRPr="00216668" w:rsidRDefault="00216668" w:rsidP="00216668">
      <w:pPr>
        <w:rPr>
          <w:b/>
          <w:bCs/>
          <w:noProof/>
          <w:color w:val="000000"/>
          <w:rtl/>
          <w:lang w:val="en-US"/>
        </w:rPr>
      </w:pPr>
    </w:p>
    <w:p w:rsidR="00332F62" w:rsidRPr="00C11785" w:rsidRDefault="00332F62" w:rsidP="00332F62">
      <w:pPr>
        <w:jc w:val="center"/>
        <w:rPr>
          <w:b/>
          <w:bCs/>
          <w:color w:val="000000"/>
        </w:rPr>
      </w:pPr>
    </w:p>
    <w:p w:rsidR="00332F62" w:rsidRPr="00C11785" w:rsidRDefault="00332F62" w:rsidP="00332F62">
      <w:pPr>
        <w:jc w:val="center"/>
        <w:rPr>
          <w:b/>
          <w:bCs/>
          <w:color w:val="000000"/>
        </w:rPr>
      </w:pPr>
    </w:p>
    <w:p w:rsidR="00934BA5" w:rsidRPr="00707F3E" w:rsidRDefault="00934BA5" w:rsidP="00934BA5">
      <w:pPr>
        <w:pStyle w:val="HTMLPreformatted"/>
        <w:spacing w:line="540" w:lineRule="atLeast"/>
        <w:jc w:val="center"/>
        <w:rPr>
          <w:rFonts w:ascii="Times New Roman" w:hAnsi="Times New Roman"/>
          <w:b/>
          <w:bCs/>
          <w:sz w:val="40"/>
          <w:szCs w:val="40"/>
          <w:lang w:val="en-US" w:eastAsia="fr-FR"/>
        </w:rPr>
      </w:pPr>
      <w:r>
        <w:rPr>
          <w:rFonts w:ascii="Times New Roman" w:hAnsi="Times New Roman"/>
          <w:b/>
          <w:bCs/>
          <w:sz w:val="40"/>
          <w:szCs w:val="40"/>
          <w:lang w:val="en-US" w:eastAsia="fr-FR"/>
        </w:rPr>
        <w:t>D</w:t>
      </w:r>
      <w:r w:rsidRPr="00934BA5">
        <w:rPr>
          <w:rFonts w:ascii="Times New Roman" w:hAnsi="Times New Roman"/>
          <w:b/>
          <w:bCs/>
          <w:sz w:val="40"/>
          <w:szCs w:val="40"/>
          <w:lang w:val="en-US" w:eastAsia="fr-FR"/>
        </w:rPr>
        <w:t xml:space="preserve">evelopment of </w:t>
      </w:r>
      <w:r w:rsidR="00E84F3C">
        <w:rPr>
          <w:rFonts w:ascii="Times New Roman" w:hAnsi="Times New Roman"/>
          <w:b/>
          <w:bCs/>
          <w:sz w:val="40"/>
          <w:szCs w:val="40"/>
          <w:lang w:val="en-US" w:eastAsia="fr-FR"/>
        </w:rPr>
        <w:t xml:space="preserve">the </w:t>
      </w:r>
      <w:r w:rsidRPr="00934BA5">
        <w:rPr>
          <w:rFonts w:ascii="Times New Roman" w:hAnsi="Times New Roman"/>
          <w:b/>
          <w:bCs/>
          <w:sz w:val="40"/>
          <w:szCs w:val="40"/>
          <w:lang w:val="en-US" w:eastAsia="fr-FR"/>
        </w:rPr>
        <w:t xml:space="preserve">Palestinian </w:t>
      </w:r>
      <w:r w:rsidRPr="00707F3E">
        <w:rPr>
          <w:rFonts w:ascii="Times New Roman" w:hAnsi="Times New Roman"/>
          <w:b/>
          <w:bCs/>
          <w:sz w:val="40"/>
          <w:szCs w:val="40"/>
          <w:lang w:val="en-US" w:eastAsia="fr-FR"/>
        </w:rPr>
        <w:t>E</w:t>
      </w:r>
      <w:r w:rsidRPr="00934BA5">
        <w:rPr>
          <w:rFonts w:ascii="Times New Roman" w:hAnsi="Times New Roman"/>
          <w:b/>
          <w:bCs/>
          <w:sz w:val="40"/>
          <w:szCs w:val="40"/>
          <w:lang w:val="en-US" w:eastAsia="fr-FR"/>
        </w:rPr>
        <w:t>stablishment</w:t>
      </w:r>
      <w:r>
        <w:rPr>
          <w:rFonts w:ascii="Times New Roman" w:hAnsi="Times New Roman"/>
          <w:b/>
          <w:bCs/>
          <w:sz w:val="40"/>
          <w:szCs w:val="40"/>
          <w:lang w:val="en-US" w:eastAsia="fr-FR"/>
        </w:rPr>
        <w:t>s  2012, 2017</w:t>
      </w:r>
    </w:p>
    <w:p w:rsidR="00332F62" w:rsidRPr="00707F3E" w:rsidRDefault="00332F62" w:rsidP="00332F62">
      <w:pPr>
        <w:pStyle w:val="Title"/>
        <w:rPr>
          <w:sz w:val="40"/>
          <w:szCs w:val="40"/>
        </w:rPr>
      </w:pPr>
    </w:p>
    <w:p w:rsidR="00332F62" w:rsidRDefault="00332F62" w:rsidP="00332F62">
      <w:pPr>
        <w:pStyle w:val="Title"/>
      </w:pPr>
    </w:p>
    <w:p w:rsidR="00332F62" w:rsidRDefault="00332F62" w:rsidP="00332F62">
      <w:pPr>
        <w:pStyle w:val="Title"/>
      </w:pPr>
    </w:p>
    <w:p w:rsidR="00332F62" w:rsidRDefault="00332F62" w:rsidP="00332F62">
      <w:pPr>
        <w:pStyle w:val="Title"/>
      </w:pPr>
      <w:r w:rsidRPr="00C11785">
        <w:t>Prepared by</w:t>
      </w:r>
    </w:p>
    <w:p w:rsidR="00332F62" w:rsidRDefault="00A508EA" w:rsidP="00332F62">
      <w:pPr>
        <w:pStyle w:val="Title"/>
      </w:pPr>
      <w:r>
        <w:rPr>
          <w:rFonts w:ascii="Arial" w:hAnsi="Arial" w:cs="Simplified Arabic"/>
          <w:b w:val="0"/>
          <w:bCs w:val="0"/>
          <w:noProof/>
          <w:sz w:val="32"/>
          <w:szCs w:val="32"/>
          <w:lang w:val="en-US" w:eastAsia="en-US"/>
        </w:rPr>
        <w:drawing>
          <wp:inline distT="0" distB="0" distL="0" distR="0">
            <wp:extent cx="1066800" cy="1181100"/>
            <wp:effectExtent l="19050" t="0" r="0" b="0"/>
            <wp:docPr id="3" name="صورة 240"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صورة 240" descr="logo"/>
                    <pic:cNvPicPr>
                      <a:picLocks noChangeArrowheads="1"/>
                    </pic:cNvPicPr>
                  </pic:nvPicPr>
                  <pic:blipFill>
                    <a:blip r:embed="rId9"/>
                    <a:srcRect/>
                    <a:stretch>
                      <a:fillRect/>
                    </a:stretch>
                  </pic:blipFill>
                  <pic:spPr bwMode="auto">
                    <a:xfrm>
                      <a:off x="0" y="0"/>
                      <a:ext cx="1066800" cy="1181100"/>
                    </a:xfrm>
                    <a:prstGeom prst="rect">
                      <a:avLst/>
                    </a:prstGeom>
                    <a:noFill/>
                    <a:ln w="9525">
                      <a:noFill/>
                      <a:miter lim="800000"/>
                      <a:headEnd/>
                      <a:tailEnd/>
                    </a:ln>
                  </pic:spPr>
                </pic:pic>
              </a:graphicData>
            </a:graphic>
          </wp:inline>
        </w:drawing>
      </w:r>
    </w:p>
    <w:p w:rsidR="00216668" w:rsidRDefault="00216668" w:rsidP="00332F62">
      <w:pPr>
        <w:pStyle w:val="Title"/>
      </w:pPr>
    </w:p>
    <w:p w:rsidR="00216668" w:rsidRPr="00D02614" w:rsidRDefault="000319A8" w:rsidP="005F67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en-US" w:eastAsia="fr-FR"/>
        </w:rPr>
      </w:pPr>
      <w:bookmarkStart w:id="0" w:name="_Hlk38285858"/>
      <w:r w:rsidRPr="00D02614">
        <w:rPr>
          <w:b/>
          <w:bCs/>
          <w:lang w:val="en-US" w:eastAsia="fr-FR"/>
        </w:rPr>
        <w:t>PALESTINE</w:t>
      </w:r>
      <w:r w:rsidR="00216668" w:rsidRPr="00D02614">
        <w:rPr>
          <w:b/>
          <w:bCs/>
          <w:lang w:eastAsia="fr-FR"/>
        </w:rPr>
        <w:t xml:space="preserve"> </w:t>
      </w:r>
      <w:r w:rsidRPr="00D02614">
        <w:rPr>
          <w:b/>
          <w:bCs/>
          <w:lang w:val="en-US" w:eastAsia="fr-FR"/>
        </w:rPr>
        <w:t>ECONOMIC</w:t>
      </w:r>
      <w:r w:rsidR="00216668" w:rsidRPr="00D02614">
        <w:rPr>
          <w:b/>
          <w:bCs/>
          <w:lang w:eastAsia="fr-FR"/>
        </w:rPr>
        <w:t xml:space="preserve"> </w:t>
      </w:r>
      <w:r w:rsidRPr="00D02614">
        <w:rPr>
          <w:b/>
          <w:bCs/>
          <w:lang w:val="en-US" w:eastAsia="fr-FR"/>
        </w:rPr>
        <w:t>POLI</w:t>
      </w:r>
      <w:r w:rsidR="005F67FB">
        <w:rPr>
          <w:b/>
          <w:bCs/>
          <w:lang w:val="en-US" w:eastAsia="fr-FR"/>
        </w:rPr>
        <w:t>C</w:t>
      </w:r>
      <w:r w:rsidRPr="00D02614">
        <w:rPr>
          <w:b/>
          <w:bCs/>
          <w:lang w:val="en-US" w:eastAsia="fr-FR"/>
        </w:rPr>
        <w:t>Y</w:t>
      </w:r>
      <w:r w:rsidR="00216668" w:rsidRPr="00D02614">
        <w:rPr>
          <w:b/>
          <w:bCs/>
          <w:lang w:eastAsia="fr-FR"/>
        </w:rPr>
        <w:t xml:space="preserve"> </w:t>
      </w:r>
      <w:r w:rsidRPr="00D02614">
        <w:rPr>
          <w:b/>
          <w:bCs/>
          <w:lang w:val="en-US" w:eastAsia="fr-FR"/>
        </w:rPr>
        <w:t>RESEARCH</w:t>
      </w:r>
      <w:r w:rsidR="00216668" w:rsidRPr="00D02614">
        <w:rPr>
          <w:b/>
          <w:bCs/>
          <w:lang w:eastAsia="fr-FR"/>
        </w:rPr>
        <w:t xml:space="preserve"> </w:t>
      </w:r>
      <w:r w:rsidRPr="00D02614">
        <w:rPr>
          <w:b/>
          <w:bCs/>
          <w:lang w:val="en-US" w:eastAsia="fr-FR"/>
        </w:rPr>
        <w:t>INSTITUTE</w:t>
      </w:r>
      <w:r w:rsidR="00216668" w:rsidRPr="00D02614">
        <w:rPr>
          <w:b/>
          <w:bCs/>
          <w:lang w:eastAsia="fr-FR"/>
        </w:rPr>
        <w:t xml:space="preserve"> (MAS)</w:t>
      </w:r>
    </w:p>
    <w:bookmarkEnd w:id="0"/>
    <w:p w:rsidR="00332F62" w:rsidRPr="00C11785" w:rsidRDefault="00332F62" w:rsidP="00332F62">
      <w:pPr>
        <w:jc w:val="center"/>
        <w:rPr>
          <w:color w:val="000000"/>
        </w:rPr>
      </w:pPr>
    </w:p>
    <w:p w:rsidR="00332F62" w:rsidRDefault="00332F62" w:rsidP="00216668">
      <w:pPr>
        <w:rPr>
          <w:color w:val="000000"/>
          <w:lang w:val="en-US"/>
        </w:rPr>
      </w:pPr>
    </w:p>
    <w:p w:rsidR="00CC51CD" w:rsidRDefault="00CC51CD" w:rsidP="00216668">
      <w:pPr>
        <w:rPr>
          <w:color w:val="000000"/>
          <w:lang w:val="en-US"/>
        </w:rPr>
      </w:pPr>
    </w:p>
    <w:p w:rsidR="00CC51CD" w:rsidRDefault="00CC51CD" w:rsidP="00216668">
      <w:pPr>
        <w:rPr>
          <w:color w:val="000000"/>
          <w:lang w:val="en-US"/>
        </w:rPr>
      </w:pPr>
    </w:p>
    <w:p w:rsidR="007A2B96" w:rsidRDefault="007A2B96" w:rsidP="00216668">
      <w:pPr>
        <w:rPr>
          <w:color w:val="000000"/>
          <w:lang w:val="en-US"/>
        </w:rPr>
      </w:pPr>
    </w:p>
    <w:p w:rsidR="007A2B96" w:rsidRDefault="007A2B96" w:rsidP="00216668">
      <w:pPr>
        <w:rPr>
          <w:color w:val="000000"/>
          <w:lang w:val="en-US"/>
        </w:rPr>
      </w:pPr>
    </w:p>
    <w:p w:rsidR="00216668" w:rsidRPr="00216668" w:rsidRDefault="00216668" w:rsidP="00216668">
      <w:pPr>
        <w:rPr>
          <w:color w:val="000000"/>
          <w:lang w:val="en-US"/>
        </w:rPr>
      </w:pPr>
    </w:p>
    <w:tbl>
      <w:tblPr>
        <w:tblpPr w:leftFromText="180" w:rightFromText="180" w:vertAnchor="text" w:horzAnchor="margin" w:tblpY="150"/>
        <w:tblW w:w="9072" w:type="dxa"/>
        <w:tblBorders>
          <w:top w:val="single" w:sz="4" w:space="0" w:color="auto"/>
        </w:tblBorders>
        <w:tblLook w:val="04A0" w:firstRow="1" w:lastRow="0" w:firstColumn="1" w:lastColumn="0" w:noHBand="0" w:noVBand="1"/>
      </w:tblPr>
      <w:tblGrid>
        <w:gridCol w:w="4535"/>
        <w:gridCol w:w="4537"/>
      </w:tblGrid>
      <w:tr w:rsidR="00332F62" w:rsidRPr="00C11785" w:rsidTr="00A8560F">
        <w:trPr>
          <w:trHeight w:val="1692"/>
        </w:trPr>
        <w:tc>
          <w:tcPr>
            <w:tcW w:w="4535" w:type="dxa"/>
          </w:tcPr>
          <w:p w:rsidR="00332F62" w:rsidRPr="00C11785" w:rsidRDefault="00A508EA" w:rsidP="00A8560F">
            <w:r>
              <w:rPr>
                <w:noProof/>
                <w:lang w:val="en-US" w:eastAsia="en-US"/>
              </w:rPr>
              <w:drawing>
                <wp:inline distT="0" distB="0" distL="0" distR="0">
                  <wp:extent cx="790575" cy="790575"/>
                  <wp:effectExtent l="19050" t="0" r="9525" b="0"/>
                  <wp:docPr id="5"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10"/>
                          <a:srcRect/>
                          <a:stretch>
                            <a:fillRect/>
                          </a:stretch>
                        </pic:blipFill>
                        <pic:spPr bwMode="auto">
                          <a:xfrm>
                            <a:off x="0" y="0"/>
                            <a:ext cx="790575" cy="790575"/>
                          </a:xfrm>
                          <a:prstGeom prst="rect">
                            <a:avLst/>
                          </a:prstGeom>
                          <a:noFill/>
                          <a:ln w="9525">
                            <a:noFill/>
                            <a:miter lim="800000"/>
                            <a:headEnd/>
                            <a:tailEnd/>
                          </a:ln>
                        </pic:spPr>
                      </pic:pic>
                    </a:graphicData>
                  </a:graphic>
                </wp:inline>
              </w:drawing>
            </w:r>
          </w:p>
        </w:tc>
        <w:tc>
          <w:tcPr>
            <w:tcW w:w="4537" w:type="dxa"/>
          </w:tcPr>
          <w:p w:rsidR="00332F62" w:rsidRPr="00C11785" w:rsidRDefault="00A508EA" w:rsidP="00A8560F">
            <w:pPr>
              <w:pStyle w:val="Heading5"/>
              <w:jc w:val="right"/>
              <w:rPr>
                <w:rFonts w:ascii="Times New Roman" w:eastAsia="Calibri" w:hAnsi="Times New Roman"/>
                <w:b w:val="0"/>
                <w:bCs w:val="0"/>
                <w:i w:val="0"/>
                <w:iCs w:val="0"/>
                <w:sz w:val="24"/>
                <w:szCs w:val="24"/>
              </w:rPr>
            </w:pPr>
            <w:r>
              <w:rPr>
                <w:rFonts w:ascii="Times New Roman" w:eastAsia="Calibri" w:hAnsi="Times New Roman"/>
                <w:b w:val="0"/>
                <w:bCs w:val="0"/>
                <w:i w:val="0"/>
                <w:iCs w:val="0"/>
                <w:noProof/>
                <w:sz w:val="24"/>
                <w:szCs w:val="24"/>
                <w:lang w:val="en-US" w:eastAsia="en-US"/>
              </w:rPr>
              <w:drawing>
                <wp:inline distT="0" distB="0" distL="0" distR="0">
                  <wp:extent cx="904875" cy="333375"/>
                  <wp:effectExtent l="19050" t="0" r="9525"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1"/>
                          <a:srcRect/>
                          <a:stretch>
                            <a:fillRect/>
                          </a:stretch>
                        </pic:blipFill>
                        <pic:spPr bwMode="auto">
                          <a:xfrm>
                            <a:off x="0" y="0"/>
                            <a:ext cx="904875" cy="333375"/>
                          </a:xfrm>
                          <a:prstGeom prst="rect">
                            <a:avLst/>
                          </a:prstGeom>
                          <a:noFill/>
                          <a:ln w="9525">
                            <a:noFill/>
                            <a:miter lim="800000"/>
                            <a:headEnd/>
                            <a:tailEnd/>
                          </a:ln>
                        </pic:spPr>
                      </pic:pic>
                    </a:graphicData>
                  </a:graphic>
                </wp:inline>
              </w:drawing>
            </w:r>
          </w:p>
          <w:p w:rsidR="00332F62" w:rsidRPr="0021641D" w:rsidRDefault="00332F62" w:rsidP="00A8560F">
            <w:pPr>
              <w:jc w:val="right"/>
              <w:rPr>
                <w:sz w:val="12"/>
                <w:szCs w:val="12"/>
              </w:rPr>
            </w:pPr>
          </w:p>
          <w:p w:rsidR="00332F62" w:rsidRPr="00081C7F" w:rsidRDefault="00B14617" w:rsidP="005F67FB">
            <w:pPr>
              <w:jc w:val="right"/>
              <w:rPr>
                <w:b/>
                <w:bCs/>
                <w:color w:val="000000"/>
                <w:lang w:val="en-US"/>
              </w:rPr>
            </w:pPr>
            <w:r>
              <w:rPr>
                <w:b/>
                <w:bCs/>
                <w:color w:val="000000"/>
                <w:lang w:val="en-US"/>
              </w:rPr>
              <w:t>August,</w:t>
            </w:r>
            <w:r w:rsidR="00332F62" w:rsidRPr="00C11785">
              <w:rPr>
                <w:b/>
                <w:bCs/>
                <w:color w:val="000000"/>
              </w:rPr>
              <w:t xml:space="preserve"> </w:t>
            </w:r>
            <w:r w:rsidR="00081C7F">
              <w:rPr>
                <w:b/>
                <w:bCs/>
                <w:color w:val="000000"/>
                <w:lang w:val="en-US"/>
              </w:rPr>
              <w:t>2020</w:t>
            </w:r>
          </w:p>
          <w:p w:rsidR="00332F62" w:rsidRPr="00C11785" w:rsidRDefault="00332F62" w:rsidP="00A8560F">
            <w:pPr>
              <w:jc w:val="right"/>
              <w:rPr>
                <w:rtl/>
              </w:rPr>
            </w:pPr>
          </w:p>
        </w:tc>
      </w:tr>
    </w:tbl>
    <w:p w:rsidR="00332F62" w:rsidRPr="00C11785" w:rsidRDefault="00332F62" w:rsidP="00332F62">
      <w:pPr>
        <w:jc w:val="center"/>
        <w:rPr>
          <w:color w:val="000000"/>
          <w:lang w:val="en-US" w:eastAsia="en-US"/>
        </w:rPr>
      </w:pPr>
    </w:p>
    <w:p w:rsidR="00332F62" w:rsidRPr="00C11785" w:rsidRDefault="009A1802" w:rsidP="00332F62">
      <w:pPr>
        <w:jc w:val="center"/>
        <w:rPr>
          <w:color w:val="000000"/>
          <w:lang w:val="en-US" w:eastAsia="en-US"/>
        </w:rPr>
      </w:pPr>
      <w:r>
        <w:rPr>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205105</wp:posOffset>
                </wp:positionH>
                <wp:positionV relativeFrom="paragraph">
                  <wp:posOffset>6985</wp:posOffset>
                </wp:positionV>
                <wp:extent cx="5430520" cy="903605"/>
                <wp:effectExtent l="38100" t="38100" r="17780" b="10795"/>
                <wp:wrapNone/>
                <wp:docPr id="2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0520" cy="903605"/>
                        </a:xfrm>
                        <a:prstGeom prst="rect">
                          <a:avLst/>
                        </a:prstGeom>
                        <a:solidFill>
                          <a:srgbClr val="FFFFFF"/>
                        </a:solidFill>
                        <a:ln w="76200" cmpd="tri">
                          <a:solidFill>
                            <a:srgbClr val="000000"/>
                          </a:solidFill>
                          <a:miter lim="800000"/>
                          <a:headEnd/>
                          <a:tailEnd/>
                        </a:ln>
                      </wps:spPr>
                      <wps:txbx>
                        <w:txbxContent>
                          <w:p w:rsidR="0001334E" w:rsidRPr="00676A63" w:rsidRDefault="0001334E" w:rsidP="00332F62">
                            <w:pPr>
                              <w:pStyle w:val="BodyText2"/>
                              <w:spacing w:after="0" w:line="240" w:lineRule="auto"/>
                              <w:ind w:right="46"/>
                              <w:jc w:val="both"/>
                              <w:rPr>
                                <w:b/>
                                <w:bCs/>
                                <w:sz w:val="30"/>
                                <w:szCs w:val="30"/>
                                <w:rtl/>
                                <w:lang w:val="en-AU"/>
                              </w:rPr>
                            </w:pPr>
                            <w:r w:rsidRPr="00676A63">
                              <w:rPr>
                                <w:b/>
                                <w:bCs/>
                                <w:sz w:val="30"/>
                                <w:szCs w:val="30"/>
                                <w:lang w:val="en-US" w:eastAsia="en-US"/>
                              </w:rPr>
                              <w:t>This document is prepared in accordance with the standard procedures stated in the Code of Practice for Palestine Official</w:t>
                            </w:r>
                            <w:r w:rsidRPr="00676A63">
                              <w:rPr>
                                <w:b/>
                                <w:bCs/>
                                <w:sz w:val="30"/>
                                <w:szCs w:val="30"/>
                              </w:rPr>
                              <w:t xml:space="preserve"> Statistics 2006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6.15pt;margin-top:.55pt;width:427.6pt;height:71.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" strokeweight="6pt">
                <v:stroke linestyle="thickBetweenThin"/>
                <v:textbox>
                  <w:txbxContent>
                    <w:p w:rsidR="0001334E" w:rsidRPr="00676A63" w:rsidRDefault="0001334E" w:rsidP="00332F62">
                      <w:pPr>
                        <w:pStyle w:val="BodyText2"/>
                        <w:spacing w:after="0" w:line="240" w:lineRule="auto"/>
                        <w:ind w:right="46"/>
                        <w:jc w:val="both"/>
                        <w:rPr>
                          <w:b/>
                          <w:bCs/>
                          <w:sz w:val="30"/>
                          <w:szCs w:val="30"/>
                          <w:rtl/>
                          <w:lang w:val="en-AU"/>
                        </w:rPr>
                      </w:pPr>
                      <w:r w:rsidRPr="00676A63">
                        <w:rPr>
                          <w:b/>
                          <w:bCs/>
                          <w:sz w:val="30"/>
                          <w:szCs w:val="30"/>
                          <w:lang w:val="en-US" w:eastAsia="en-US"/>
                        </w:rPr>
                        <w:t>This document is prepared in accordance with the standard procedures stated in the Code of Practice for Palestine Official</w:t>
                      </w:r>
                      <w:r w:rsidRPr="00676A63">
                        <w:rPr>
                          <w:b/>
                          <w:bCs/>
                          <w:sz w:val="30"/>
                          <w:szCs w:val="30"/>
                        </w:rPr>
                        <w:t xml:space="preserve"> Statistics 2006</w:t>
                      </w:r>
                    </w:p>
                  </w:txbxContent>
                </v:textbox>
              </v:shape>
            </w:pict>
          </mc:Fallback>
        </mc:AlternateContent>
      </w: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rtl/>
          <w:lang w:val="en-US" w:eastAsia="en-US"/>
        </w:rPr>
      </w:pPr>
    </w:p>
    <w:p w:rsidR="00332F62" w:rsidRPr="00C11785" w:rsidRDefault="00332F62" w:rsidP="00332F62">
      <w:pPr>
        <w:jc w:val="center"/>
        <w:rPr>
          <w:color w:val="000000"/>
          <w:rtl/>
          <w:lang w:val="en-US" w:eastAsia="en-US"/>
        </w:rPr>
      </w:pPr>
    </w:p>
    <w:p w:rsidR="00332F62" w:rsidRPr="00C11785" w:rsidRDefault="00332F62" w:rsidP="00332F62">
      <w:pPr>
        <w:jc w:val="center"/>
        <w:rPr>
          <w:color w:val="000000"/>
          <w:rtl/>
        </w:rPr>
      </w:pPr>
    </w:p>
    <w:p w:rsidR="00332F62" w:rsidRPr="00C11785" w:rsidRDefault="00A508EA" w:rsidP="00332F62">
      <w:pPr>
        <w:snapToGrid w:val="0"/>
        <w:jc w:val="center"/>
        <w:rPr>
          <w:color w:val="000000"/>
        </w:rPr>
      </w:pPr>
      <w:r>
        <w:rPr>
          <w:noProof/>
          <w:color w:val="000000"/>
          <w:lang w:val="en-US" w:eastAsia="en-US"/>
        </w:rPr>
        <w:drawing>
          <wp:inline distT="0" distB="0" distL="0" distR="0">
            <wp:extent cx="1914525" cy="2428875"/>
            <wp:effectExtent l="19050" t="0" r="9525" b="0"/>
            <wp:docPr id="1"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0101.jpg"/>
                    <pic:cNvPicPr>
                      <a:picLocks noChangeAspect="1" noChangeArrowheads="1"/>
                    </pic:cNvPicPr>
                  </pic:nvPicPr>
                  <pic:blipFill>
                    <a:blip r:embed="rId12"/>
                    <a:srcRect/>
                    <a:stretch>
                      <a:fillRect/>
                    </a:stretch>
                  </pic:blipFill>
                  <pic:spPr bwMode="auto">
                    <a:xfrm>
                      <a:off x="0" y="0"/>
                      <a:ext cx="1914525" cy="2428875"/>
                    </a:xfrm>
                    <a:prstGeom prst="rect">
                      <a:avLst/>
                    </a:prstGeom>
                    <a:noFill/>
                    <a:ln w="9525">
                      <a:noFill/>
                      <a:miter lim="800000"/>
                      <a:headEnd/>
                      <a:tailEnd/>
                    </a:ln>
                  </pic:spPr>
                </pic:pic>
              </a:graphicData>
            </a:graphic>
          </wp:inline>
        </w:drawing>
      </w:r>
    </w:p>
    <w:p w:rsidR="00332F62" w:rsidRPr="00C11785" w:rsidRDefault="00332F62" w:rsidP="00332F62">
      <w:pPr>
        <w:snapToGrid w:val="0"/>
        <w:jc w:val="center"/>
        <w:rPr>
          <w:color w:val="000000"/>
        </w:rPr>
      </w:pPr>
    </w:p>
    <w:p w:rsidR="00332F62" w:rsidRPr="00C11785" w:rsidRDefault="00332F62" w:rsidP="00332F62">
      <w:pPr>
        <w:snapToGrid w:val="0"/>
        <w:rPr>
          <w:color w:val="000000"/>
        </w:rPr>
      </w:pPr>
    </w:p>
    <w:p w:rsidR="00332F62" w:rsidRPr="008365DA" w:rsidRDefault="00332F62" w:rsidP="0054164F">
      <w:pPr>
        <w:snapToGrid w:val="0"/>
        <w:rPr>
          <w:color w:val="000000"/>
          <w:sz w:val="20"/>
          <w:szCs w:val="20"/>
        </w:rPr>
      </w:pPr>
      <w:r w:rsidRPr="008365DA">
        <w:rPr>
          <w:color w:val="000000"/>
          <w:sz w:val="20"/>
          <w:szCs w:val="20"/>
        </w:rPr>
        <w:sym w:font="Symbol" w:char="00D3"/>
      </w:r>
      <w:r w:rsidRPr="008365DA">
        <w:rPr>
          <w:b/>
          <w:bCs/>
          <w:color w:val="000000"/>
          <w:sz w:val="20"/>
          <w:szCs w:val="20"/>
        </w:rPr>
        <w:t xml:space="preserve"> </w:t>
      </w:r>
      <w:r w:rsidR="0054164F">
        <w:rPr>
          <w:color w:val="000000"/>
          <w:sz w:val="20"/>
          <w:szCs w:val="20"/>
          <w:lang w:val="en-US"/>
        </w:rPr>
        <w:t>August</w:t>
      </w:r>
      <w:r w:rsidRPr="008365DA">
        <w:rPr>
          <w:color w:val="000000"/>
          <w:sz w:val="20"/>
          <w:szCs w:val="20"/>
          <w:lang w:val="en-AU"/>
        </w:rPr>
        <w:t xml:space="preserve"> </w:t>
      </w:r>
      <w:r w:rsidR="00081C7F">
        <w:rPr>
          <w:color w:val="000000"/>
          <w:sz w:val="20"/>
          <w:szCs w:val="20"/>
          <w:lang w:val="en-AU"/>
        </w:rPr>
        <w:t>2020</w:t>
      </w:r>
      <w:r w:rsidRPr="008365DA">
        <w:rPr>
          <w:color w:val="000000"/>
          <w:sz w:val="20"/>
          <w:szCs w:val="20"/>
        </w:rPr>
        <w:t>.</w:t>
      </w:r>
    </w:p>
    <w:p w:rsidR="00332F62" w:rsidRPr="008365DA" w:rsidRDefault="00332F62" w:rsidP="00332F62">
      <w:pPr>
        <w:snapToGrid w:val="0"/>
        <w:rPr>
          <w:b/>
          <w:bCs/>
          <w:color w:val="000000"/>
          <w:sz w:val="20"/>
          <w:szCs w:val="20"/>
        </w:rPr>
      </w:pPr>
      <w:r w:rsidRPr="008365DA">
        <w:rPr>
          <w:b/>
          <w:bCs/>
          <w:color w:val="000000"/>
          <w:sz w:val="20"/>
          <w:szCs w:val="20"/>
        </w:rPr>
        <w:t>All rights reserved</w:t>
      </w:r>
    </w:p>
    <w:p w:rsidR="00332F62" w:rsidRPr="008365DA" w:rsidRDefault="00332F62" w:rsidP="00332F62">
      <w:pPr>
        <w:snapToGrid w:val="0"/>
        <w:rPr>
          <w:b/>
          <w:bCs/>
          <w:color w:val="000000"/>
          <w:sz w:val="20"/>
          <w:szCs w:val="20"/>
        </w:rPr>
      </w:pPr>
    </w:p>
    <w:p w:rsidR="00332F62" w:rsidRPr="008365DA" w:rsidRDefault="00332F62" w:rsidP="00332F62">
      <w:pPr>
        <w:snapToGrid w:val="0"/>
        <w:rPr>
          <w:b/>
          <w:bCs/>
          <w:color w:val="000000"/>
          <w:sz w:val="20"/>
          <w:szCs w:val="20"/>
        </w:rPr>
      </w:pPr>
      <w:r w:rsidRPr="008365DA">
        <w:rPr>
          <w:b/>
          <w:bCs/>
          <w:color w:val="000000"/>
          <w:sz w:val="20"/>
          <w:szCs w:val="20"/>
        </w:rPr>
        <w:t>Citation:</w:t>
      </w:r>
    </w:p>
    <w:p w:rsidR="00332F62" w:rsidRPr="00C11785" w:rsidRDefault="00332F62" w:rsidP="00332F62">
      <w:pPr>
        <w:rPr>
          <w:b/>
          <w:bCs/>
          <w:color w:val="000000"/>
        </w:rPr>
      </w:pPr>
    </w:p>
    <w:p w:rsidR="00934BA5" w:rsidRPr="00934BA5" w:rsidRDefault="00332F62" w:rsidP="00E84F3C">
      <w:pPr>
        <w:pStyle w:val="HTMLPreformatted"/>
        <w:spacing w:line="300" w:lineRule="atLeast"/>
        <w:rPr>
          <w:rFonts w:ascii="Times New Roman" w:hAnsi="Times New Roman"/>
          <w:i/>
          <w:iCs/>
          <w:sz w:val="24"/>
          <w:szCs w:val="24"/>
          <w:lang w:val="en-US" w:eastAsia="fr-FR"/>
        </w:rPr>
      </w:pPr>
      <w:r w:rsidRPr="00707211">
        <w:rPr>
          <w:rFonts w:ascii="Times New Roman" w:hAnsi="Times New Roman"/>
          <w:b/>
          <w:bCs/>
          <w:sz w:val="24"/>
          <w:szCs w:val="24"/>
          <w:lang w:val="en-US" w:eastAsia="fr-FR"/>
        </w:rPr>
        <w:t xml:space="preserve">Palestinian Central Bureau of Statistics, </w:t>
      </w:r>
      <w:r w:rsidR="00081C7F" w:rsidRPr="00707211">
        <w:rPr>
          <w:rFonts w:ascii="Times New Roman" w:hAnsi="Times New Roman"/>
          <w:b/>
          <w:bCs/>
          <w:sz w:val="24"/>
          <w:szCs w:val="24"/>
          <w:lang w:val="en-US" w:eastAsia="fr-FR"/>
        </w:rPr>
        <w:t>2020</w:t>
      </w:r>
      <w:r w:rsidRPr="00707211">
        <w:rPr>
          <w:rFonts w:ascii="Times New Roman" w:hAnsi="Times New Roman"/>
          <w:b/>
          <w:bCs/>
          <w:sz w:val="24"/>
          <w:szCs w:val="24"/>
          <w:lang w:val="en-US" w:eastAsia="fr-FR"/>
        </w:rPr>
        <w:t xml:space="preserve">.  </w:t>
      </w:r>
      <w:r w:rsidR="00934BA5" w:rsidRPr="00934BA5">
        <w:rPr>
          <w:rFonts w:ascii="Times New Roman" w:hAnsi="Times New Roman"/>
          <w:i/>
          <w:iCs/>
          <w:sz w:val="24"/>
          <w:szCs w:val="24"/>
          <w:lang w:val="en-US" w:eastAsia="fr-FR"/>
        </w:rPr>
        <w:t xml:space="preserve">Development of </w:t>
      </w:r>
      <w:r w:rsidR="00E84F3C">
        <w:rPr>
          <w:rFonts w:ascii="Times New Roman" w:hAnsi="Times New Roman"/>
          <w:i/>
          <w:iCs/>
          <w:sz w:val="24"/>
          <w:szCs w:val="24"/>
          <w:lang w:val="en-US" w:eastAsia="fr-FR"/>
        </w:rPr>
        <w:t xml:space="preserve">the </w:t>
      </w:r>
      <w:r w:rsidR="00934BA5" w:rsidRPr="00934BA5">
        <w:rPr>
          <w:rFonts w:ascii="Times New Roman" w:hAnsi="Times New Roman"/>
          <w:i/>
          <w:iCs/>
          <w:sz w:val="24"/>
          <w:szCs w:val="24"/>
          <w:lang w:val="en-US" w:eastAsia="fr-FR"/>
        </w:rPr>
        <w:t>Palestinian Establishments 2012, 2017</w:t>
      </w:r>
    </w:p>
    <w:p w:rsidR="00332F62" w:rsidRPr="00C11785" w:rsidRDefault="00332F62" w:rsidP="007A2B96">
      <w:pPr>
        <w:rPr>
          <w:color w:val="000000"/>
        </w:rPr>
      </w:pPr>
      <w:r w:rsidRPr="00C11785">
        <w:rPr>
          <w:color w:val="000000"/>
        </w:rPr>
        <w:t>Ramallah - Palestine.</w:t>
      </w:r>
    </w:p>
    <w:p w:rsidR="00332F62" w:rsidRPr="00C11785" w:rsidRDefault="00332F62" w:rsidP="00332F62">
      <w:pPr>
        <w:rPr>
          <w:color w:val="000000"/>
        </w:rPr>
      </w:pPr>
    </w:p>
    <w:p w:rsidR="00332F62" w:rsidRPr="00C11785" w:rsidRDefault="00332F62" w:rsidP="00332F62">
      <w:pPr>
        <w:rPr>
          <w:color w:val="000000"/>
        </w:rPr>
      </w:pPr>
    </w:p>
    <w:tbl>
      <w:tblPr>
        <w:tblpPr w:leftFromText="180" w:rightFromText="180" w:vertAnchor="text" w:tblpXSpec="center" w:tblpY="1"/>
        <w:tblOverlap w:val="never"/>
        <w:tblW w:w="9072" w:type="dxa"/>
        <w:jc w:val="center"/>
        <w:tblLook w:val="04A0" w:firstRow="1" w:lastRow="0" w:firstColumn="1" w:lastColumn="0" w:noHBand="0" w:noVBand="1"/>
      </w:tblPr>
      <w:tblGrid>
        <w:gridCol w:w="4542"/>
        <w:gridCol w:w="2403"/>
        <w:gridCol w:w="2127"/>
      </w:tblGrid>
      <w:tr w:rsidR="00CE504B" w:rsidRPr="001509FF" w:rsidTr="00D02614">
        <w:trPr>
          <w:trHeight w:val="275"/>
          <w:jc w:val="center"/>
        </w:trPr>
        <w:tc>
          <w:tcPr>
            <w:tcW w:w="4542" w:type="dxa"/>
            <w:vMerge w:val="restart"/>
            <w:shd w:val="clear" w:color="auto" w:fill="auto"/>
          </w:tcPr>
          <w:p w:rsidR="00CE504B" w:rsidRPr="00D02614" w:rsidRDefault="00CE504B" w:rsidP="00D02614">
            <w:pPr>
              <w:ind w:hanging="142"/>
              <w:rPr>
                <w:color w:val="000000"/>
                <w:sz w:val="20"/>
                <w:szCs w:val="20"/>
              </w:rPr>
            </w:pPr>
            <w:r w:rsidRPr="00D02614">
              <w:rPr>
                <w:color w:val="000000"/>
                <w:sz w:val="20"/>
                <w:szCs w:val="20"/>
              </w:rPr>
              <w:t>All correspondence should</w:t>
            </w:r>
            <w:r w:rsidRPr="00D02614">
              <w:rPr>
                <w:color w:val="000000"/>
                <w:sz w:val="20"/>
                <w:szCs w:val="20"/>
                <w:rtl/>
              </w:rPr>
              <w:t xml:space="preserve"> </w:t>
            </w:r>
            <w:r w:rsidRPr="00D02614">
              <w:rPr>
                <w:color w:val="000000"/>
                <w:sz w:val="20"/>
                <w:szCs w:val="20"/>
              </w:rPr>
              <w:t>be directed to</w:t>
            </w:r>
            <w:r w:rsidRPr="00D02614">
              <w:rPr>
                <w:color w:val="000000"/>
                <w:sz w:val="20"/>
                <w:szCs w:val="20"/>
                <w:rtl/>
              </w:rPr>
              <w:t>:</w:t>
            </w:r>
          </w:p>
          <w:p w:rsidR="00CE504B" w:rsidRPr="00D02614" w:rsidRDefault="00CE504B" w:rsidP="00D02614">
            <w:pPr>
              <w:ind w:hanging="142"/>
              <w:rPr>
                <w:b/>
                <w:bCs/>
                <w:color w:val="000000"/>
                <w:sz w:val="20"/>
                <w:szCs w:val="20"/>
              </w:rPr>
            </w:pPr>
            <w:r w:rsidRPr="00D02614">
              <w:rPr>
                <w:b/>
                <w:bCs/>
                <w:color w:val="000000"/>
                <w:sz w:val="20"/>
                <w:szCs w:val="20"/>
              </w:rPr>
              <w:t>Palestinian Central Bureau of Statistics</w:t>
            </w:r>
          </w:p>
          <w:p w:rsidR="00CE504B" w:rsidRPr="00D02614" w:rsidRDefault="00CE504B" w:rsidP="00D02614">
            <w:pPr>
              <w:ind w:hanging="142"/>
              <w:rPr>
                <w:color w:val="000000"/>
                <w:sz w:val="20"/>
                <w:szCs w:val="20"/>
              </w:rPr>
            </w:pPr>
            <w:r w:rsidRPr="00D02614">
              <w:rPr>
                <w:b/>
                <w:bCs/>
                <w:color w:val="000000"/>
                <w:sz w:val="20"/>
                <w:szCs w:val="20"/>
              </w:rPr>
              <w:t>P. O. Box 1647,</w:t>
            </w:r>
            <w:r w:rsidRPr="00D02614">
              <w:rPr>
                <w:color w:val="000000"/>
                <w:sz w:val="20"/>
                <w:szCs w:val="20"/>
              </w:rPr>
              <w:t xml:space="preserve"> Ramallah – Palestine. </w:t>
            </w:r>
          </w:p>
          <w:p w:rsidR="00CE504B" w:rsidRPr="00D02614" w:rsidRDefault="00CE504B" w:rsidP="00D02614">
            <w:pPr>
              <w:ind w:hanging="142"/>
              <w:rPr>
                <w:color w:val="000000"/>
                <w:sz w:val="20"/>
                <w:szCs w:val="20"/>
                <w:lang w:eastAsia="fr-FR"/>
              </w:rPr>
            </w:pPr>
            <w:r w:rsidRPr="00D02614">
              <w:rPr>
                <w:color w:val="000000"/>
                <w:sz w:val="20"/>
                <w:szCs w:val="20"/>
                <w:lang w:eastAsia="fr-FR"/>
              </w:rPr>
              <w:t xml:space="preserve">Tel: </w:t>
            </w:r>
            <w:r w:rsidRPr="00D02614">
              <w:rPr>
                <w:color w:val="000000"/>
                <w:sz w:val="20"/>
                <w:szCs w:val="20"/>
              </w:rPr>
              <w:t>(970/972) 2 2982700</w:t>
            </w:r>
          </w:p>
          <w:p w:rsidR="00CE504B" w:rsidRPr="00D02614" w:rsidRDefault="00CE504B" w:rsidP="00D02614">
            <w:pPr>
              <w:ind w:hanging="142"/>
              <w:rPr>
                <w:color w:val="000000"/>
                <w:sz w:val="20"/>
                <w:szCs w:val="20"/>
              </w:rPr>
            </w:pPr>
            <w:r w:rsidRPr="00D02614">
              <w:rPr>
                <w:color w:val="000000"/>
                <w:sz w:val="20"/>
                <w:szCs w:val="20"/>
                <w:lang w:eastAsia="fr-FR"/>
              </w:rPr>
              <w:t xml:space="preserve">Fax: </w:t>
            </w:r>
            <w:r w:rsidRPr="00D02614">
              <w:rPr>
                <w:color w:val="000000"/>
                <w:sz w:val="20"/>
                <w:szCs w:val="20"/>
              </w:rPr>
              <w:t>(970/972) 2 2982710</w:t>
            </w:r>
          </w:p>
          <w:p w:rsidR="00CE504B" w:rsidRPr="00D02614" w:rsidRDefault="00CE504B" w:rsidP="00D02614">
            <w:pPr>
              <w:ind w:hanging="142"/>
              <w:rPr>
                <w:color w:val="000000"/>
                <w:sz w:val="20"/>
                <w:szCs w:val="20"/>
                <w:rtl/>
              </w:rPr>
            </w:pPr>
            <w:r w:rsidRPr="00D02614">
              <w:rPr>
                <w:color w:val="000000"/>
                <w:sz w:val="20"/>
                <w:szCs w:val="20"/>
              </w:rPr>
              <w:t>Toll Free:1800300300</w:t>
            </w:r>
          </w:p>
          <w:p w:rsidR="00CE504B" w:rsidRPr="00D02614" w:rsidRDefault="00CE504B" w:rsidP="00D02614">
            <w:pPr>
              <w:ind w:hanging="142"/>
              <w:rPr>
                <w:color w:val="000000"/>
                <w:sz w:val="20"/>
                <w:szCs w:val="20"/>
              </w:rPr>
            </w:pPr>
            <w:r w:rsidRPr="00D02614">
              <w:rPr>
                <w:color w:val="000000"/>
                <w:sz w:val="20"/>
                <w:szCs w:val="20"/>
                <w:lang w:eastAsia="fr-FR"/>
              </w:rPr>
              <w:t>E-Mail</w:t>
            </w:r>
            <w:r w:rsidRPr="00D02614">
              <w:rPr>
                <w:color w:val="000000"/>
                <w:sz w:val="20"/>
                <w:szCs w:val="20"/>
                <w:rtl/>
              </w:rPr>
              <w:t xml:space="preserve">: </w:t>
            </w:r>
            <w:r w:rsidRPr="00D02614">
              <w:rPr>
                <w:color w:val="000000"/>
                <w:sz w:val="20"/>
                <w:szCs w:val="20"/>
                <w:lang w:eastAsia="fr-FR"/>
              </w:rPr>
              <w:t>diwan@pcbs.gov.ps</w:t>
            </w:r>
          </w:p>
          <w:p w:rsidR="00CE504B" w:rsidRPr="00D02614" w:rsidRDefault="00CE504B" w:rsidP="00D02614">
            <w:pPr>
              <w:pStyle w:val="BlockText"/>
              <w:tabs>
                <w:tab w:val="clear" w:pos="8647"/>
              </w:tabs>
              <w:ind w:left="0" w:right="-2" w:hanging="142"/>
              <w:jc w:val="left"/>
              <w:rPr>
                <w:rFonts w:cs="Times New Roman"/>
                <w:b/>
                <w:bCs/>
                <w:color w:val="000000"/>
                <w:sz w:val="20"/>
                <w:rtl/>
              </w:rPr>
            </w:pPr>
            <w:r w:rsidRPr="00D02614">
              <w:rPr>
                <w:rFonts w:cs="Times New Roman"/>
                <w:color w:val="000000"/>
                <w:sz w:val="20"/>
              </w:rPr>
              <w:t>Website:  http://www.pcbs.gov.ps</w:t>
            </w:r>
            <w:r w:rsidRPr="00D02614">
              <w:rPr>
                <w:rFonts w:cs="Times New Roman"/>
                <w:b/>
                <w:bCs/>
                <w:color w:val="000000"/>
                <w:sz w:val="20"/>
              </w:rPr>
              <w:t xml:space="preserve"> </w:t>
            </w:r>
            <w:r w:rsidRPr="00D02614">
              <w:rPr>
                <w:rFonts w:cs="Times New Roman"/>
                <w:b/>
                <w:bCs/>
                <w:color w:val="000000"/>
                <w:sz w:val="20"/>
                <w:rtl/>
              </w:rPr>
              <w:t xml:space="preserve">   </w:t>
            </w:r>
          </w:p>
          <w:p w:rsidR="00CE504B" w:rsidRPr="00D02614" w:rsidRDefault="00CE504B" w:rsidP="00D02614">
            <w:pPr>
              <w:pStyle w:val="BlockText"/>
              <w:tabs>
                <w:tab w:val="clear" w:pos="8647"/>
              </w:tabs>
              <w:ind w:left="0" w:right="-2"/>
              <w:jc w:val="left"/>
              <w:rPr>
                <w:rFonts w:cs="Times New Roman"/>
                <w:b/>
                <w:bCs/>
                <w:color w:val="000000"/>
                <w:sz w:val="20"/>
              </w:rPr>
            </w:pPr>
          </w:p>
          <w:p w:rsidR="00CE504B" w:rsidRPr="00D02614" w:rsidRDefault="00CE504B" w:rsidP="00D02614">
            <w:pPr>
              <w:pStyle w:val="BlockText"/>
              <w:tabs>
                <w:tab w:val="clear" w:pos="8647"/>
              </w:tabs>
              <w:ind w:left="0" w:right="-2"/>
              <w:jc w:val="left"/>
              <w:rPr>
                <w:rFonts w:cs="Times New Roman"/>
                <w:b/>
                <w:bCs/>
                <w:color w:val="000000"/>
                <w:sz w:val="20"/>
                <w:rtl/>
              </w:rPr>
            </w:pPr>
          </w:p>
        </w:tc>
        <w:tc>
          <w:tcPr>
            <w:tcW w:w="2403" w:type="dxa"/>
            <w:shd w:val="clear" w:color="auto" w:fill="auto"/>
          </w:tcPr>
          <w:p w:rsidR="00CE504B" w:rsidRPr="00D02614" w:rsidRDefault="00CE504B" w:rsidP="00D02614">
            <w:pPr>
              <w:jc w:val="right"/>
              <w:rPr>
                <w:color w:val="000000"/>
                <w:sz w:val="20"/>
                <w:szCs w:val="20"/>
                <w:rtl/>
              </w:rPr>
            </w:pPr>
          </w:p>
        </w:tc>
        <w:tc>
          <w:tcPr>
            <w:tcW w:w="2127" w:type="dxa"/>
            <w:shd w:val="clear" w:color="auto" w:fill="auto"/>
          </w:tcPr>
          <w:p w:rsidR="00CE504B" w:rsidRPr="00D02614" w:rsidRDefault="00A508EA" w:rsidP="00D02614">
            <w:pPr>
              <w:jc w:val="center"/>
              <w:rPr>
                <w:color w:val="000000"/>
                <w:sz w:val="20"/>
                <w:szCs w:val="20"/>
                <w:rtl/>
              </w:rPr>
            </w:pPr>
            <w:r>
              <w:rPr>
                <w:rFonts w:ascii="Calibri" w:hAnsi="Calibri"/>
                <w:noProof/>
                <w:color w:val="000000"/>
                <w:sz w:val="20"/>
                <w:szCs w:val="20"/>
                <w:lang w:val="en-US" w:eastAsia="en-US"/>
              </w:rPr>
              <w:drawing>
                <wp:inline distT="0" distB="0" distL="0" distR="0">
                  <wp:extent cx="1143000" cy="1143000"/>
                  <wp:effectExtent l="19050" t="0" r="0" b="0"/>
                  <wp:docPr id="4"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3"/>
                          <a:srcRect/>
                          <a:stretch>
                            <a:fillRect/>
                          </a:stretch>
                        </pic:blipFill>
                        <pic:spPr bwMode="auto">
                          <a:xfrm>
                            <a:off x="0" y="0"/>
                            <a:ext cx="1143000" cy="1143000"/>
                          </a:xfrm>
                          <a:prstGeom prst="rect">
                            <a:avLst/>
                          </a:prstGeom>
                          <a:noFill/>
                          <a:ln w="9525">
                            <a:noFill/>
                            <a:miter lim="800000"/>
                            <a:headEnd/>
                            <a:tailEnd/>
                          </a:ln>
                        </pic:spPr>
                      </pic:pic>
                    </a:graphicData>
                  </a:graphic>
                </wp:inline>
              </w:drawing>
            </w:r>
          </w:p>
        </w:tc>
      </w:tr>
      <w:tr w:rsidR="00CE504B" w:rsidTr="00D02614">
        <w:trPr>
          <w:trHeight w:val="1014"/>
          <w:jc w:val="center"/>
        </w:trPr>
        <w:tc>
          <w:tcPr>
            <w:tcW w:w="4542" w:type="dxa"/>
            <w:vMerge/>
            <w:shd w:val="clear" w:color="auto" w:fill="auto"/>
          </w:tcPr>
          <w:p w:rsidR="00CE504B" w:rsidRPr="00D02614" w:rsidRDefault="00CE504B" w:rsidP="00D02614">
            <w:pPr>
              <w:jc w:val="lowKashida"/>
              <w:rPr>
                <w:color w:val="000000"/>
                <w:sz w:val="20"/>
                <w:szCs w:val="20"/>
                <w:rtl/>
              </w:rPr>
            </w:pPr>
          </w:p>
        </w:tc>
        <w:tc>
          <w:tcPr>
            <w:tcW w:w="2403" w:type="dxa"/>
            <w:shd w:val="clear" w:color="auto" w:fill="auto"/>
          </w:tcPr>
          <w:p w:rsidR="00CE504B" w:rsidRPr="00D02614" w:rsidRDefault="00CE504B" w:rsidP="00D02614">
            <w:pPr>
              <w:jc w:val="right"/>
              <w:rPr>
                <w:noProof/>
                <w:color w:val="000000"/>
                <w:sz w:val="20"/>
                <w:szCs w:val="20"/>
                <w:rtl/>
              </w:rPr>
            </w:pPr>
          </w:p>
        </w:tc>
        <w:tc>
          <w:tcPr>
            <w:tcW w:w="2127" w:type="dxa"/>
            <w:shd w:val="clear" w:color="auto" w:fill="auto"/>
          </w:tcPr>
          <w:p w:rsidR="00CE504B" w:rsidRPr="00D02614" w:rsidRDefault="00CE504B" w:rsidP="00D02614">
            <w:pPr>
              <w:jc w:val="center"/>
              <w:rPr>
                <w:b/>
                <w:bCs/>
                <w:color w:val="000000"/>
                <w:sz w:val="20"/>
                <w:szCs w:val="20"/>
              </w:rPr>
            </w:pPr>
          </w:p>
          <w:p w:rsidR="00CE504B" w:rsidRPr="00D02614" w:rsidRDefault="00CE504B" w:rsidP="00D02614">
            <w:pPr>
              <w:jc w:val="center"/>
              <w:rPr>
                <w:b/>
                <w:bCs/>
                <w:color w:val="000000"/>
                <w:sz w:val="20"/>
                <w:szCs w:val="20"/>
              </w:rPr>
            </w:pPr>
          </w:p>
          <w:p w:rsidR="00CE504B" w:rsidRPr="00D02614" w:rsidRDefault="00CE504B" w:rsidP="00D02614">
            <w:pPr>
              <w:jc w:val="center"/>
              <w:rPr>
                <w:b/>
                <w:bCs/>
                <w:color w:val="000000"/>
                <w:sz w:val="20"/>
                <w:szCs w:val="20"/>
              </w:rPr>
            </w:pPr>
          </w:p>
          <w:p w:rsidR="00CE504B" w:rsidRPr="008343ED" w:rsidRDefault="00CE504B" w:rsidP="00D02614">
            <w:pPr>
              <w:jc w:val="center"/>
              <w:rPr>
                <w:noProof/>
                <w:color w:val="000000"/>
                <w:sz w:val="20"/>
                <w:szCs w:val="20"/>
                <w:rtl/>
                <w:lang w:val="en-US"/>
              </w:rPr>
            </w:pPr>
            <w:r w:rsidRPr="00D02614">
              <w:rPr>
                <w:b/>
                <w:bCs/>
                <w:color w:val="000000"/>
                <w:sz w:val="20"/>
                <w:szCs w:val="20"/>
              </w:rPr>
              <w:t xml:space="preserve">Reference ID: </w:t>
            </w:r>
            <w:bookmarkStart w:id="1" w:name="_GoBack"/>
            <w:r w:rsidR="008343ED" w:rsidRPr="008343ED">
              <w:rPr>
                <w:b/>
                <w:bCs/>
                <w:noProof/>
                <w:color w:val="000000"/>
                <w:sz w:val="20"/>
                <w:szCs w:val="20"/>
                <w:lang w:val="en-US"/>
              </w:rPr>
              <w:t>2535</w:t>
            </w:r>
            <w:bookmarkEnd w:id="1"/>
          </w:p>
        </w:tc>
      </w:tr>
    </w:tbl>
    <w:p w:rsidR="00A508EA" w:rsidRDefault="00A508EA" w:rsidP="00B42EC0">
      <w:pPr>
        <w:jc w:val="center"/>
        <w:rPr>
          <w:b/>
          <w:bCs/>
          <w:sz w:val="28"/>
          <w:szCs w:val="28"/>
          <w:lang w:val="en-US"/>
        </w:rPr>
      </w:pPr>
    </w:p>
    <w:p w:rsidR="00DF2E19" w:rsidRDefault="00DF2E19" w:rsidP="00B42EC0">
      <w:pPr>
        <w:jc w:val="center"/>
        <w:rPr>
          <w:b/>
          <w:bCs/>
          <w:sz w:val="28"/>
          <w:szCs w:val="28"/>
          <w:lang w:val="en-US"/>
        </w:rPr>
      </w:pPr>
    </w:p>
    <w:p w:rsidR="00DF2E19" w:rsidRDefault="00DF2E19" w:rsidP="00B42EC0">
      <w:pPr>
        <w:jc w:val="center"/>
        <w:rPr>
          <w:b/>
          <w:bCs/>
          <w:sz w:val="28"/>
          <w:szCs w:val="28"/>
          <w:lang w:val="en-US"/>
        </w:rPr>
      </w:pPr>
    </w:p>
    <w:p w:rsidR="00DF2E19" w:rsidRDefault="00DF2E19" w:rsidP="00B42EC0">
      <w:pPr>
        <w:jc w:val="center"/>
        <w:rPr>
          <w:b/>
          <w:bCs/>
          <w:sz w:val="28"/>
          <w:szCs w:val="28"/>
          <w:lang w:val="en-US"/>
        </w:rPr>
      </w:pPr>
    </w:p>
    <w:p w:rsidR="00B42EC0" w:rsidRDefault="00B42EC0" w:rsidP="00B42EC0">
      <w:pPr>
        <w:jc w:val="center"/>
        <w:rPr>
          <w:b/>
          <w:bCs/>
          <w:sz w:val="28"/>
          <w:szCs w:val="28"/>
        </w:rPr>
      </w:pPr>
      <w:r>
        <w:rPr>
          <w:b/>
          <w:bCs/>
          <w:sz w:val="28"/>
          <w:szCs w:val="28"/>
        </w:rPr>
        <w:lastRenderedPageBreak/>
        <w:t>Acknowledgments</w:t>
      </w:r>
    </w:p>
    <w:p w:rsidR="00B42EC0" w:rsidRDefault="00B42EC0" w:rsidP="00B42EC0">
      <w:pPr>
        <w:jc w:val="center"/>
        <w:rPr>
          <w:b/>
          <w:bCs/>
          <w:rtl/>
          <w:lang w:val="en-AU"/>
        </w:rPr>
      </w:pPr>
    </w:p>
    <w:p w:rsidR="00D7104C" w:rsidRDefault="00D7104C" w:rsidP="00D7104C">
      <w:pPr>
        <w:jc w:val="both"/>
        <w:rPr>
          <w:lang w:val="en-US"/>
        </w:rPr>
      </w:pPr>
      <w:r w:rsidRPr="00D7104C">
        <w:t>The Palestinian Central Bureau of Statistics (PCBS) extends its special thanks and gratitude to all who contributed to bringing this vital study to light through the implementation of its different phases: preparation, technical review and language editing.</w:t>
      </w:r>
    </w:p>
    <w:p w:rsidR="00D7104C" w:rsidRDefault="00D7104C" w:rsidP="00D7104C">
      <w:pPr>
        <w:jc w:val="both"/>
        <w:rPr>
          <w:lang w:val="en-US"/>
        </w:rPr>
      </w:pPr>
      <w:r w:rsidRPr="00D7104C">
        <w:br/>
        <w:t>This study wouldn't have been done without the cooperation of fieldworkers and respondents who gave accurate and reliable data through the implementation of PCBS different censuses and surveys. Hence, PCBS extends its special thanks to them all.</w:t>
      </w:r>
    </w:p>
    <w:p w:rsidR="00D7104C" w:rsidRDefault="00D7104C" w:rsidP="00D7104C">
      <w:pPr>
        <w:jc w:val="both"/>
      </w:pPr>
    </w:p>
    <w:p w:rsidR="00D7104C" w:rsidRDefault="00D7104C" w:rsidP="00E84F3C">
      <w:pPr>
        <w:pStyle w:val="HTMLPreformatted"/>
        <w:jc w:val="both"/>
        <w:rPr>
          <w:rFonts w:ascii="Times New Roman" w:hAnsi="Times New Roman"/>
          <w:sz w:val="24"/>
          <w:szCs w:val="24"/>
          <w:lang w:val="en-US"/>
        </w:rPr>
      </w:pPr>
      <w:r w:rsidRPr="00D7104C">
        <w:rPr>
          <w:rFonts w:ascii="Times New Roman" w:hAnsi="Times New Roman"/>
          <w:sz w:val="24"/>
          <w:szCs w:val="24"/>
        </w:rPr>
        <w:t>This publication "</w:t>
      </w:r>
      <w:r w:rsidR="00A508EA" w:rsidRPr="00F65A02">
        <w:rPr>
          <w:rFonts w:ascii="Times New Roman" w:hAnsi="Times New Roman"/>
          <w:sz w:val="24"/>
          <w:szCs w:val="24"/>
        </w:rPr>
        <w:t xml:space="preserve">Development of </w:t>
      </w:r>
      <w:r w:rsidR="00E84F3C">
        <w:rPr>
          <w:rFonts w:ascii="Times New Roman" w:hAnsi="Times New Roman"/>
          <w:sz w:val="24"/>
          <w:szCs w:val="24"/>
          <w:lang w:val="en-US"/>
        </w:rPr>
        <w:t xml:space="preserve">the </w:t>
      </w:r>
      <w:r w:rsidR="00A508EA" w:rsidRPr="00F65A02">
        <w:rPr>
          <w:rFonts w:ascii="Times New Roman" w:hAnsi="Times New Roman"/>
          <w:sz w:val="24"/>
          <w:szCs w:val="24"/>
        </w:rPr>
        <w:t>Palestinian Establishments 2012, 2017</w:t>
      </w:r>
      <w:r w:rsidRPr="00D7104C">
        <w:rPr>
          <w:rFonts w:ascii="Times New Roman" w:hAnsi="Times New Roman"/>
          <w:sz w:val="24"/>
          <w:szCs w:val="24"/>
        </w:rPr>
        <w:t>" has been funded by the Italian Agency for Development Cooperation within the Project "SUPPORT TO THE INSTITUTIONALISATION OF GENDER MAINSTREAMING &amp; WOMEN’S EMPOWERMENT IN THE NPA 2017-2022 - (SI-GEWE PROGRAMME - AID n. 11279".</w:t>
      </w:r>
    </w:p>
    <w:p w:rsidR="00D7104C" w:rsidRPr="00D7104C" w:rsidRDefault="00D7104C" w:rsidP="00D7104C">
      <w:pPr>
        <w:jc w:val="both"/>
      </w:pPr>
    </w:p>
    <w:p w:rsidR="00D7104C" w:rsidRPr="00D7104C" w:rsidRDefault="00D7104C" w:rsidP="00D7104C">
      <w:pPr>
        <w:jc w:val="both"/>
      </w:pPr>
      <w:r w:rsidRPr="00D7104C">
        <w:t>The views expressed in this publication are those of the authors and do not necessarily reflects the views or policies of the Italian Agency for Development Cooperation.</w:t>
      </w:r>
    </w:p>
    <w:p w:rsidR="00D7104C" w:rsidRPr="00D7104C" w:rsidRDefault="00D7104C" w:rsidP="00D7104C">
      <w:pPr>
        <w:jc w:val="both"/>
      </w:pPr>
    </w:p>
    <w:p w:rsidR="00D7104C" w:rsidRPr="00D7104C" w:rsidRDefault="00D7104C" w:rsidP="00D7104C">
      <w:pPr>
        <w:jc w:val="both"/>
        <w:rPr>
          <w:rtl/>
        </w:rPr>
      </w:pPr>
      <w:r w:rsidRPr="00D7104C">
        <w:t>The Italian Agency for Development Cooperation is not responsible for any inaccurate or libelous information, or for the erroneous use of information.</w:t>
      </w:r>
    </w:p>
    <w:p w:rsidR="00D7104C" w:rsidRPr="00D7104C" w:rsidRDefault="00D7104C" w:rsidP="00D7104C">
      <w:pPr>
        <w:jc w:val="both"/>
        <w:rPr>
          <w:rtl/>
        </w:rPr>
      </w:pPr>
    </w:p>
    <w:p w:rsidR="00D7104C" w:rsidRPr="00D7104C" w:rsidRDefault="00D7104C" w:rsidP="00D7104C">
      <w:pPr>
        <w:jc w:val="both"/>
      </w:pPr>
      <w:r w:rsidRPr="00D7104C">
        <w:t>PCBS expresses special gratitude to the Italian Agency for Development Cooperation for their generous support for preparing this publication.</w:t>
      </w:r>
    </w:p>
    <w:p w:rsidR="00800DC0" w:rsidRPr="001558B7" w:rsidRDefault="00800DC0" w:rsidP="00800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eastAsia="en-US"/>
        </w:rPr>
      </w:pPr>
    </w:p>
    <w:p w:rsidR="00800DC0" w:rsidRDefault="00800DC0" w:rsidP="00800DC0">
      <w:pPr>
        <w:pStyle w:val="Header"/>
        <w:jc w:val="both"/>
        <w:rPr>
          <w:lang w:val="en-US"/>
        </w:rPr>
      </w:pPr>
    </w:p>
    <w:p w:rsidR="00800DC0" w:rsidRPr="00F15073" w:rsidRDefault="00A508EA" w:rsidP="00800DC0">
      <w:pPr>
        <w:autoSpaceDE w:val="0"/>
        <w:autoSpaceDN w:val="0"/>
        <w:bidi/>
        <w:adjustRightInd w:val="0"/>
        <w:jc w:val="right"/>
        <w:rPr>
          <w:rFonts w:ascii="Simplified Arabic" w:hAnsi="Simplified Arabic" w:cs="Simplified Arabic"/>
          <w:rtl/>
        </w:rPr>
      </w:pPr>
      <w:r>
        <w:rPr>
          <w:noProof/>
          <w:lang w:val="en-US" w:eastAsia="en-US"/>
        </w:rPr>
        <w:drawing>
          <wp:inline distT="0" distB="0" distL="0" distR="0">
            <wp:extent cx="2619375" cy="542925"/>
            <wp:effectExtent l="19050" t="0" r="9525" b="0"/>
            <wp:docPr id="7" name="Picture 36" descr="AICS_ENG_ORIZZONT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ICS_ENG_ORIZZONTALE.JPG"/>
                    <pic:cNvPicPr>
                      <a:picLocks noChangeAspect="1" noChangeArrowheads="1"/>
                    </pic:cNvPicPr>
                  </pic:nvPicPr>
                  <pic:blipFill>
                    <a:blip r:embed="rId14"/>
                    <a:srcRect/>
                    <a:stretch>
                      <a:fillRect/>
                    </a:stretch>
                  </pic:blipFill>
                  <pic:spPr bwMode="auto">
                    <a:xfrm>
                      <a:off x="0" y="0"/>
                      <a:ext cx="2619375" cy="542925"/>
                    </a:xfrm>
                    <a:prstGeom prst="rect">
                      <a:avLst/>
                    </a:prstGeom>
                    <a:noFill/>
                    <a:ln w="9525">
                      <a:noFill/>
                      <a:miter lim="800000"/>
                      <a:headEnd/>
                      <a:tailEnd/>
                    </a:ln>
                  </pic:spPr>
                </pic:pic>
              </a:graphicData>
            </a:graphic>
          </wp:inline>
        </w:drawing>
      </w:r>
    </w:p>
    <w:p w:rsidR="00800DC0" w:rsidRDefault="00800DC0" w:rsidP="00800DC0">
      <w:pPr>
        <w:pStyle w:val="Header"/>
        <w:rPr>
          <w:lang w:val="en-US"/>
        </w:rPr>
      </w:pPr>
    </w:p>
    <w:p w:rsidR="005D6F34" w:rsidRDefault="00FC6304" w:rsidP="00800DC0">
      <w:pPr>
        <w:pStyle w:val="Header"/>
        <w:rPr>
          <w:b/>
          <w:bCs/>
          <w:color w:val="000000"/>
          <w:sz w:val="28"/>
          <w:szCs w:val="28"/>
        </w:rPr>
      </w:pPr>
      <w:r w:rsidRPr="003C25B4">
        <w:rPr>
          <w:b/>
          <w:bCs/>
          <w:color w:val="000000"/>
          <w:sz w:val="28"/>
          <w:szCs w:val="28"/>
        </w:rPr>
        <w:br w:type="page"/>
      </w:r>
      <w:r w:rsidR="005D6F34">
        <w:rPr>
          <w:b/>
          <w:bCs/>
          <w:color w:val="000000"/>
          <w:sz w:val="28"/>
          <w:szCs w:val="28"/>
        </w:rPr>
        <w:lastRenderedPageBreak/>
        <w:br w:type="page"/>
      </w:r>
    </w:p>
    <w:p w:rsidR="00FC6304" w:rsidRPr="003C25B4" w:rsidRDefault="00FC6304" w:rsidP="00FC6304">
      <w:pPr>
        <w:autoSpaceDE w:val="0"/>
        <w:autoSpaceDN w:val="0"/>
        <w:adjustRightInd w:val="0"/>
        <w:jc w:val="center"/>
        <w:rPr>
          <w:color w:val="000000"/>
        </w:rPr>
      </w:pPr>
      <w:r w:rsidRPr="003C25B4">
        <w:rPr>
          <w:b/>
          <w:bCs/>
          <w:color w:val="000000"/>
          <w:sz w:val="28"/>
          <w:szCs w:val="28"/>
        </w:rPr>
        <w:lastRenderedPageBreak/>
        <w:t xml:space="preserve">Work Team </w:t>
      </w:r>
    </w:p>
    <w:p w:rsidR="00FC6304" w:rsidRPr="003C25B4" w:rsidRDefault="00FC6304" w:rsidP="00FC6304">
      <w:pPr>
        <w:autoSpaceDE w:val="0"/>
        <w:autoSpaceDN w:val="0"/>
        <w:adjustRightInd w:val="0"/>
        <w:jc w:val="center"/>
        <w:rPr>
          <w:color w:val="000000"/>
        </w:rPr>
      </w:pPr>
    </w:p>
    <w:tbl>
      <w:tblPr>
        <w:tblW w:w="8789" w:type="dxa"/>
        <w:jc w:val="center"/>
        <w:tblLayout w:type="fixed"/>
        <w:tblLook w:val="0000" w:firstRow="0" w:lastRow="0" w:firstColumn="0" w:lastColumn="0" w:noHBand="0" w:noVBand="0"/>
      </w:tblPr>
      <w:tblGrid>
        <w:gridCol w:w="447"/>
        <w:gridCol w:w="2939"/>
        <w:gridCol w:w="5403"/>
      </w:tblGrid>
      <w:tr w:rsidR="00FC6304" w:rsidRPr="003C25B4" w:rsidTr="00144F6A">
        <w:trPr>
          <w:trHeight w:val="340"/>
          <w:jc w:val="center"/>
        </w:trPr>
        <w:tc>
          <w:tcPr>
            <w:tcW w:w="8789" w:type="dxa"/>
            <w:gridSpan w:val="3"/>
            <w:vAlign w:val="center"/>
          </w:tcPr>
          <w:p w:rsidR="00FC6304" w:rsidRPr="003B2394" w:rsidRDefault="00FC6304" w:rsidP="00144F6A">
            <w:pPr>
              <w:pStyle w:val="Header"/>
              <w:numPr>
                <w:ilvl w:val="0"/>
                <w:numId w:val="22"/>
              </w:numPr>
              <w:tabs>
                <w:tab w:val="clear" w:pos="4680"/>
                <w:tab w:val="clear" w:pos="9360"/>
                <w:tab w:val="center" w:pos="4320"/>
                <w:tab w:val="right" w:pos="8640"/>
              </w:tabs>
              <w:ind w:right="0"/>
              <w:rPr>
                <w:rFonts w:cs="Simplified Arabic"/>
                <w:color w:val="000000"/>
                <w:szCs w:val="24"/>
              </w:rPr>
            </w:pPr>
            <w:r w:rsidRPr="003B2394">
              <w:rPr>
                <w:rFonts w:cs="Simplified Arabic"/>
                <w:b/>
                <w:bCs/>
                <w:color w:val="000000"/>
                <w:szCs w:val="24"/>
              </w:rPr>
              <w:t>Report Preparation</w:t>
            </w:r>
          </w:p>
          <w:p w:rsidR="00FC6304" w:rsidRDefault="004E1DB5" w:rsidP="00144F6A">
            <w:pPr>
              <w:pStyle w:val="Header"/>
              <w:ind w:left="461"/>
              <w:rPr>
                <w:szCs w:val="24"/>
                <w:lang w:val="en-US" w:eastAsia="en-US"/>
              </w:rPr>
            </w:pPr>
            <w:r w:rsidRPr="00216668">
              <w:rPr>
                <w:szCs w:val="24"/>
                <w:lang w:val="en-US" w:eastAsia="en-US"/>
              </w:rPr>
              <w:t>Palestin</w:t>
            </w:r>
            <w:r w:rsidR="0077093D">
              <w:rPr>
                <w:lang w:val="en-US" w:eastAsia="en-US"/>
              </w:rPr>
              <w:t>ian</w:t>
            </w:r>
            <w:r w:rsidRPr="00216668">
              <w:rPr>
                <w:szCs w:val="24"/>
                <w:lang w:val="en-US" w:eastAsia="en-US"/>
              </w:rPr>
              <w:t xml:space="preserve"> Economic Policy Research Institute (MAS)</w:t>
            </w:r>
          </w:p>
          <w:p w:rsidR="008A7C87" w:rsidRDefault="008A7C87" w:rsidP="008A7C87">
            <w:pPr>
              <w:pStyle w:val="Header"/>
              <w:ind w:left="461"/>
              <w:rPr>
                <w:rFonts w:cs="Simplified Arabic"/>
                <w:bCs/>
                <w:color w:val="000000"/>
                <w:szCs w:val="24"/>
                <w:lang w:val="en-US"/>
              </w:rPr>
            </w:pPr>
            <w:r>
              <w:rPr>
                <w:rFonts w:cs="Simplified Arabic"/>
                <w:bCs/>
                <w:color w:val="000000"/>
                <w:szCs w:val="24"/>
                <w:lang w:val="en-US"/>
              </w:rPr>
              <w:t>D</w:t>
            </w:r>
            <w:r w:rsidRPr="008A7C87">
              <w:rPr>
                <w:rFonts w:cs="Simplified Arabic"/>
                <w:bCs/>
                <w:color w:val="000000"/>
                <w:szCs w:val="24"/>
                <w:lang w:val="en-US"/>
              </w:rPr>
              <w:t>r</w:t>
            </w:r>
            <w:r w:rsidR="005F67FB">
              <w:rPr>
                <w:rFonts w:cs="Simplified Arabic"/>
                <w:bCs/>
                <w:color w:val="000000"/>
                <w:szCs w:val="24"/>
                <w:lang w:val="en-US"/>
              </w:rPr>
              <w:t>.</w:t>
            </w:r>
            <w:r w:rsidRPr="008A7C87">
              <w:rPr>
                <w:rFonts w:cs="Simplified Arabic"/>
                <w:bCs/>
                <w:color w:val="000000"/>
                <w:szCs w:val="24"/>
                <w:lang w:val="en-US"/>
              </w:rPr>
              <w:t xml:space="preserve"> </w:t>
            </w:r>
            <w:r>
              <w:rPr>
                <w:rFonts w:cs="Simplified Arabic"/>
                <w:bCs/>
                <w:color w:val="000000"/>
                <w:szCs w:val="24"/>
                <w:lang w:val="en-US"/>
              </w:rPr>
              <w:t>S</w:t>
            </w:r>
            <w:r w:rsidRPr="008A7C87">
              <w:rPr>
                <w:rFonts w:cs="Simplified Arabic"/>
                <w:bCs/>
                <w:color w:val="000000"/>
                <w:szCs w:val="24"/>
                <w:lang w:val="en-US"/>
              </w:rPr>
              <w:t xml:space="preserve">amir </w:t>
            </w:r>
            <w:r>
              <w:rPr>
                <w:rFonts w:cs="Simplified Arabic"/>
                <w:bCs/>
                <w:color w:val="000000"/>
                <w:szCs w:val="24"/>
                <w:lang w:val="en-US"/>
              </w:rPr>
              <w:t>Abdullah</w:t>
            </w:r>
          </w:p>
          <w:p w:rsidR="00B04BE3" w:rsidRPr="00B04BE3" w:rsidRDefault="008A7C87" w:rsidP="00EB3A1E">
            <w:pPr>
              <w:pStyle w:val="Header"/>
              <w:ind w:left="461"/>
              <w:rPr>
                <w:rFonts w:cs="Simplified Arabic"/>
                <w:bCs/>
                <w:color w:val="000000"/>
                <w:szCs w:val="24"/>
                <w:lang w:val="en-US"/>
              </w:rPr>
            </w:pPr>
            <w:r>
              <w:rPr>
                <w:rFonts w:cs="Simplified Arabic"/>
                <w:bCs/>
                <w:color w:val="000000"/>
                <w:szCs w:val="24"/>
                <w:lang w:val="en-US"/>
              </w:rPr>
              <w:t>A</w:t>
            </w:r>
            <w:r w:rsidRPr="008A7C87">
              <w:rPr>
                <w:rFonts w:cs="Simplified Arabic"/>
                <w:bCs/>
                <w:color w:val="000000"/>
                <w:szCs w:val="24"/>
                <w:lang w:val="en-US"/>
              </w:rPr>
              <w:t xml:space="preserve">li </w:t>
            </w:r>
            <w:r>
              <w:rPr>
                <w:rFonts w:cs="Simplified Arabic"/>
                <w:bCs/>
                <w:color w:val="000000"/>
                <w:szCs w:val="24"/>
                <w:lang w:val="en-US"/>
              </w:rPr>
              <w:t>J</w:t>
            </w:r>
            <w:r w:rsidRPr="008A7C87">
              <w:rPr>
                <w:rFonts w:cs="Simplified Arabic"/>
                <w:bCs/>
                <w:color w:val="000000"/>
                <w:szCs w:val="24"/>
                <w:lang w:val="en-US"/>
              </w:rPr>
              <w:t>abareen</w:t>
            </w:r>
          </w:p>
        </w:tc>
      </w:tr>
      <w:tr w:rsidR="00B04BE3" w:rsidRPr="003C25B4" w:rsidTr="00144F6A">
        <w:trPr>
          <w:trHeight w:val="340"/>
          <w:jc w:val="center"/>
        </w:trPr>
        <w:tc>
          <w:tcPr>
            <w:tcW w:w="3386" w:type="dxa"/>
            <w:gridSpan w:val="2"/>
            <w:vAlign w:val="center"/>
          </w:tcPr>
          <w:p w:rsidR="00B04BE3" w:rsidRPr="00B04BE3" w:rsidRDefault="00B04BE3" w:rsidP="00B04BE3">
            <w:pPr>
              <w:pStyle w:val="Header"/>
              <w:tabs>
                <w:tab w:val="clear" w:pos="4680"/>
                <w:tab w:val="clear" w:pos="9360"/>
                <w:tab w:val="center" w:pos="4320"/>
                <w:tab w:val="right" w:pos="8640"/>
              </w:tabs>
              <w:ind w:right="340"/>
              <w:rPr>
                <w:rFonts w:cs="Simplified Arabic"/>
                <w:b/>
                <w:bCs/>
                <w:color w:val="000000"/>
                <w:szCs w:val="24"/>
                <w:lang w:val="en-US"/>
              </w:rPr>
            </w:pPr>
          </w:p>
        </w:tc>
        <w:tc>
          <w:tcPr>
            <w:tcW w:w="5403" w:type="dxa"/>
            <w:vAlign w:val="center"/>
          </w:tcPr>
          <w:p w:rsidR="00B04BE3" w:rsidRPr="003B2394" w:rsidRDefault="00B04BE3" w:rsidP="00144F6A">
            <w:pPr>
              <w:pStyle w:val="Header"/>
              <w:rPr>
                <w:rFonts w:cs="Simplified Arabic"/>
                <w:b/>
                <w:bCs/>
                <w:color w:val="000000"/>
                <w:szCs w:val="24"/>
              </w:rPr>
            </w:pPr>
          </w:p>
        </w:tc>
      </w:tr>
      <w:tr w:rsidR="00FC6304" w:rsidRPr="003C25B4" w:rsidTr="00144F6A">
        <w:trPr>
          <w:trHeight w:val="340"/>
          <w:jc w:val="center"/>
        </w:trPr>
        <w:tc>
          <w:tcPr>
            <w:tcW w:w="3386" w:type="dxa"/>
            <w:gridSpan w:val="2"/>
            <w:vAlign w:val="center"/>
          </w:tcPr>
          <w:p w:rsidR="00FC6304" w:rsidRPr="003B2394"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tl/>
              </w:rPr>
            </w:pPr>
            <w:r w:rsidRPr="003B2394">
              <w:rPr>
                <w:rFonts w:cs="Simplified Arabic"/>
                <w:b/>
                <w:bCs/>
                <w:color w:val="000000"/>
                <w:szCs w:val="24"/>
              </w:rPr>
              <w:t>Dissemination Standards</w:t>
            </w:r>
          </w:p>
        </w:tc>
        <w:tc>
          <w:tcPr>
            <w:tcW w:w="5403" w:type="dxa"/>
            <w:vAlign w:val="center"/>
          </w:tcPr>
          <w:p w:rsidR="00FC6304" w:rsidRPr="003B2394"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3B2394" w:rsidRDefault="00FC6304" w:rsidP="00144F6A">
            <w:pPr>
              <w:pStyle w:val="Header"/>
              <w:rPr>
                <w:rFonts w:cs="Simplified Arabic"/>
                <w:b/>
                <w:bCs/>
                <w:color w:val="000000"/>
                <w:szCs w:val="24"/>
              </w:rPr>
            </w:pPr>
          </w:p>
        </w:tc>
        <w:tc>
          <w:tcPr>
            <w:tcW w:w="2939" w:type="dxa"/>
            <w:vAlign w:val="center"/>
          </w:tcPr>
          <w:p w:rsidR="00FC6304" w:rsidRPr="003B2394" w:rsidRDefault="00FC6304" w:rsidP="00144F6A">
            <w:pPr>
              <w:pStyle w:val="Header"/>
              <w:rPr>
                <w:rFonts w:cs="Simplified Arabic"/>
                <w:color w:val="000000"/>
                <w:szCs w:val="24"/>
                <w:rtl/>
              </w:rPr>
            </w:pPr>
            <w:r w:rsidRPr="003B2394">
              <w:rPr>
                <w:rFonts w:cs="Simplified Arabic"/>
                <w:color w:val="000000"/>
                <w:szCs w:val="24"/>
              </w:rPr>
              <w:t>Hanan Janajreh</w:t>
            </w:r>
          </w:p>
        </w:tc>
        <w:tc>
          <w:tcPr>
            <w:tcW w:w="5403" w:type="dxa"/>
            <w:vAlign w:val="center"/>
          </w:tcPr>
          <w:p w:rsidR="00FC6304" w:rsidRPr="003B2394"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tcPr>
          <w:p w:rsidR="00FC6304" w:rsidRPr="003B2394" w:rsidRDefault="00FC6304" w:rsidP="00144F6A">
            <w:pPr>
              <w:pStyle w:val="Header"/>
              <w:rPr>
                <w:rFonts w:cs="Simplified Arabic"/>
                <w:b/>
                <w:bCs/>
                <w:color w:val="000000"/>
                <w:sz w:val="18"/>
                <w:szCs w:val="18"/>
              </w:rPr>
            </w:pPr>
          </w:p>
        </w:tc>
        <w:tc>
          <w:tcPr>
            <w:tcW w:w="2939" w:type="dxa"/>
            <w:vAlign w:val="center"/>
          </w:tcPr>
          <w:p w:rsidR="00FC6304" w:rsidRPr="003B2394" w:rsidRDefault="00FC6304" w:rsidP="00144F6A">
            <w:pPr>
              <w:pStyle w:val="Header"/>
              <w:rPr>
                <w:rFonts w:cs="Simplified Arabic"/>
                <w:b/>
                <w:bCs/>
                <w:color w:val="000000"/>
                <w:sz w:val="18"/>
                <w:szCs w:val="18"/>
                <w:rtl/>
              </w:rPr>
            </w:pPr>
          </w:p>
        </w:tc>
        <w:tc>
          <w:tcPr>
            <w:tcW w:w="5403" w:type="dxa"/>
            <w:vAlign w:val="center"/>
          </w:tcPr>
          <w:p w:rsidR="00FC6304" w:rsidRPr="003B2394"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vAlign w:val="center"/>
          </w:tcPr>
          <w:p w:rsidR="00FC6304" w:rsidRPr="003B2394"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Pr>
            </w:pPr>
            <w:r w:rsidRPr="003B2394">
              <w:rPr>
                <w:rFonts w:cs="Simplified Arabic"/>
                <w:b/>
                <w:bCs/>
                <w:color w:val="000000"/>
                <w:szCs w:val="24"/>
              </w:rPr>
              <w:t>Preliminary Review</w:t>
            </w:r>
          </w:p>
        </w:tc>
        <w:tc>
          <w:tcPr>
            <w:tcW w:w="5403" w:type="dxa"/>
            <w:vAlign w:val="center"/>
          </w:tcPr>
          <w:p w:rsidR="00FC6304" w:rsidRPr="003B2394"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vAlign w:val="center"/>
          </w:tcPr>
          <w:p w:rsidR="00FC6304" w:rsidRPr="003B2394" w:rsidRDefault="00FC6304" w:rsidP="00144F6A">
            <w:pPr>
              <w:pStyle w:val="Header"/>
              <w:tabs>
                <w:tab w:val="center" w:pos="4320"/>
                <w:tab w:val="right" w:pos="8640"/>
              </w:tabs>
              <w:ind w:left="340" w:right="340"/>
              <w:rPr>
                <w:rFonts w:cs="Simplified Arabic"/>
                <w:b/>
                <w:bCs/>
                <w:color w:val="000000"/>
                <w:szCs w:val="24"/>
              </w:rPr>
            </w:pPr>
          </w:p>
        </w:tc>
        <w:tc>
          <w:tcPr>
            <w:tcW w:w="2939" w:type="dxa"/>
            <w:vAlign w:val="center"/>
          </w:tcPr>
          <w:p w:rsidR="00903E3F" w:rsidRDefault="00903E3F" w:rsidP="00144F6A">
            <w:pPr>
              <w:pStyle w:val="Header"/>
              <w:rPr>
                <w:rFonts w:cs="Simplified Arabic"/>
                <w:color w:val="000000"/>
                <w:szCs w:val="24"/>
                <w:lang w:val="en-US"/>
              </w:rPr>
            </w:pPr>
            <w:r>
              <w:rPr>
                <w:rFonts w:cs="Simplified Arabic"/>
                <w:color w:val="000000"/>
                <w:szCs w:val="24"/>
                <w:lang w:val="en-US"/>
              </w:rPr>
              <w:t>Aya Amro</w:t>
            </w:r>
          </w:p>
          <w:p w:rsidR="00903E3F" w:rsidRDefault="00903E3F" w:rsidP="00144F6A">
            <w:pPr>
              <w:pStyle w:val="Header"/>
              <w:rPr>
                <w:rFonts w:cs="Simplified Arabic"/>
                <w:color w:val="000000"/>
                <w:szCs w:val="24"/>
                <w:lang w:val="en-US"/>
              </w:rPr>
            </w:pPr>
            <w:r>
              <w:rPr>
                <w:rFonts w:cs="Simplified Arabic"/>
                <w:color w:val="000000"/>
                <w:szCs w:val="24"/>
                <w:lang w:val="en-US"/>
              </w:rPr>
              <w:t>Rawya Al</w:t>
            </w:r>
            <w:r w:rsidR="00CA7834">
              <w:rPr>
                <w:rFonts w:cs="Simplified Arabic"/>
                <w:color w:val="000000"/>
                <w:szCs w:val="24"/>
                <w:lang w:val="en-US"/>
              </w:rPr>
              <w:t>awneh</w:t>
            </w:r>
            <w:r>
              <w:rPr>
                <w:rFonts w:cs="Simplified Arabic"/>
                <w:color w:val="000000"/>
                <w:szCs w:val="24"/>
                <w:lang w:val="en-US"/>
              </w:rPr>
              <w:t xml:space="preserve"> </w:t>
            </w:r>
          </w:p>
          <w:p w:rsidR="00CA3A23" w:rsidRDefault="00804CB7" w:rsidP="00A24314">
            <w:pPr>
              <w:pStyle w:val="Header"/>
              <w:rPr>
                <w:rFonts w:cs="Simplified Arabic"/>
                <w:color w:val="000000"/>
                <w:szCs w:val="24"/>
                <w:lang w:val="en-US"/>
              </w:rPr>
            </w:pPr>
            <w:r>
              <w:rPr>
                <w:rFonts w:cs="Simplified Arabic"/>
                <w:color w:val="000000"/>
                <w:szCs w:val="24"/>
                <w:lang w:val="en-US"/>
              </w:rPr>
              <w:t>Ayman Q</w:t>
            </w:r>
            <w:r w:rsidR="00A24314">
              <w:rPr>
                <w:rFonts w:cs="Simplified Arabic"/>
                <w:color w:val="000000"/>
                <w:szCs w:val="24"/>
                <w:lang w:val="en-US"/>
              </w:rPr>
              <w:t>u</w:t>
            </w:r>
            <w:r>
              <w:rPr>
                <w:rFonts w:cs="Simplified Arabic"/>
                <w:color w:val="000000"/>
                <w:szCs w:val="24"/>
                <w:lang w:val="en-US"/>
              </w:rPr>
              <w:t>n</w:t>
            </w:r>
            <w:r w:rsidR="00A24314">
              <w:rPr>
                <w:rFonts w:cs="Simplified Arabic"/>
                <w:color w:val="000000"/>
                <w:szCs w:val="24"/>
                <w:lang w:val="en-US"/>
              </w:rPr>
              <w:t>i</w:t>
            </w:r>
            <w:r>
              <w:rPr>
                <w:rFonts w:cs="Simplified Arabic"/>
                <w:color w:val="000000"/>
                <w:szCs w:val="24"/>
                <w:lang w:val="en-US"/>
              </w:rPr>
              <w:t>er</w:t>
            </w:r>
          </w:p>
          <w:p w:rsidR="00A24314" w:rsidRDefault="00A24314" w:rsidP="00A24314">
            <w:pPr>
              <w:pStyle w:val="Header"/>
              <w:rPr>
                <w:rFonts w:cs="Simplified Arabic"/>
                <w:color w:val="000000"/>
                <w:szCs w:val="24"/>
                <w:lang w:val="en-US"/>
              </w:rPr>
            </w:pPr>
            <w:r>
              <w:rPr>
                <w:rFonts w:cs="Simplified Arabic"/>
                <w:color w:val="000000"/>
                <w:szCs w:val="24"/>
                <w:lang w:val="en-US"/>
              </w:rPr>
              <w:t>Mohammad Qlalwah</w:t>
            </w:r>
          </w:p>
          <w:p w:rsidR="00FC6304" w:rsidRPr="003B2394" w:rsidRDefault="00FC6304" w:rsidP="00144F6A">
            <w:pPr>
              <w:pStyle w:val="Header"/>
              <w:rPr>
                <w:rFonts w:cs="Simplified Arabic"/>
                <w:color w:val="000000"/>
                <w:szCs w:val="24"/>
              </w:rPr>
            </w:pPr>
            <w:r w:rsidRPr="003B2394">
              <w:rPr>
                <w:rFonts w:cs="Simplified Arabic"/>
                <w:color w:val="000000"/>
                <w:szCs w:val="24"/>
              </w:rPr>
              <w:t>Omayma AL-Ahmad</w:t>
            </w:r>
          </w:p>
          <w:p w:rsidR="00FC6304" w:rsidRPr="003B2394" w:rsidRDefault="00FC6304" w:rsidP="00144F6A">
            <w:pPr>
              <w:pStyle w:val="Header"/>
              <w:rPr>
                <w:rFonts w:cs="Simplified Arabic"/>
                <w:color w:val="000000"/>
                <w:szCs w:val="24"/>
              </w:rPr>
            </w:pPr>
            <w:r w:rsidRPr="003B2394">
              <w:rPr>
                <w:rFonts w:cs="Simplified Arabic"/>
                <w:color w:val="000000"/>
                <w:szCs w:val="24"/>
              </w:rPr>
              <w:t>Rania Abu Ghaboush</w:t>
            </w:r>
          </w:p>
          <w:p w:rsidR="00FC6304" w:rsidRPr="003B2394" w:rsidRDefault="00FC6304" w:rsidP="00144F6A">
            <w:pPr>
              <w:pStyle w:val="Header"/>
              <w:rPr>
                <w:rFonts w:cs="Simplified Arabic"/>
                <w:color w:val="000000"/>
                <w:szCs w:val="24"/>
              </w:rPr>
            </w:pPr>
            <w:r w:rsidRPr="003B2394">
              <w:rPr>
                <w:rFonts w:cs="Simplified Arabic"/>
                <w:color w:val="000000"/>
                <w:szCs w:val="24"/>
              </w:rPr>
              <w:t>Maher Sbieh</w:t>
            </w:r>
          </w:p>
        </w:tc>
        <w:tc>
          <w:tcPr>
            <w:tcW w:w="5403" w:type="dxa"/>
            <w:vAlign w:val="center"/>
          </w:tcPr>
          <w:p w:rsidR="00FC6304" w:rsidRPr="003B2394"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vAlign w:val="center"/>
          </w:tcPr>
          <w:p w:rsidR="00FC6304" w:rsidRPr="003B2394" w:rsidRDefault="00FC6304" w:rsidP="00144F6A">
            <w:pPr>
              <w:pStyle w:val="Header"/>
              <w:rPr>
                <w:rFonts w:cs="Simplified Arabic"/>
                <w:b/>
                <w:bCs/>
                <w:color w:val="000000"/>
                <w:sz w:val="18"/>
                <w:szCs w:val="18"/>
              </w:rPr>
            </w:pPr>
          </w:p>
        </w:tc>
        <w:tc>
          <w:tcPr>
            <w:tcW w:w="2939" w:type="dxa"/>
            <w:vAlign w:val="center"/>
          </w:tcPr>
          <w:p w:rsidR="00FC6304" w:rsidRPr="003B2394" w:rsidRDefault="00FC6304" w:rsidP="00144F6A">
            <w:pPr>
              <w:pStyle w:val="Header"/>
              <w:rPr>
                <w:rFonts w:cs="Simplified Arabic"/>
                <w:b/>
                <w:bCs/>
                <w:color w:val="000000"/>
                <w:sz w:val="18"/>
                <w:szCs w:val="18"/>
              </w:rPr>
            </w:pPr>
          </w:p>
        </w:tc>
        <w:tc>
          <w:tcPr>
            <w:tcW w:w="5403" w:type="dxa"/>
            <w:vAlign w:val="center"/>
          </w:tcPr>
          <w:p w:rsidR="00FC6304" w:rsidRPr="003B2394"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vAlign w:val="center"/>
          </w:tcPr>
          <w:p w:rsidR="00FC6304" w:rsidRPr="003B2394"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tl/>
              </w:rPr>
            </w:pPr>
            <w:r w:rsidRPr="003B2394">
              <w:rPr>
                <w:rFonts w:cs="Simplified Arabic"/>
                <w:b/>
                <w:bCs/>
                <w:color w:val="000000"/>
                <w:szCs w:val="24"/>
              </w:rPr>
              <w:t>Final Review</w:t>
            </w:r>
          </w:p>
        </w:tc>
        <w:tc>
          <w:tcPr>
            <w:tcW w:w="5403" w:type="dxa"/>
            <w:vAlign w:val="center"/>
          </w:tcPr>
          <w:p w:rsidR="00FC6304" w:rsidRPr="003B2394"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3B2394" w:rsidRDefault="00FC6304" w:rsidP="00144F6A">
            <w:pPr>
              <w:pStyle w:val="Header"/>
              <w:rPr>
                <w:rFonts w:cs="Simplified Arabic"/>
                <w:b/>
                <w:bCs/>
                <w:color w:val="000000"/>
                <w:szCs w:val="24"/>
              </w:rPr>
            </w:pPr>
          </w:p>
        </w:tc>
        <w:tc>
          <w:tcPr>
            <w:tcW w:w="2939" w:type="dxa"/>
            <w:vAlign w:val="center"/>
          </w:tcPr>
          <w:p w:rsidR="00FC6304" w:rsidRPr="003B2394" w:rsidRDefault="00FC6304" w:rsidP="00144F6A">
            <w:pPr>
              <w:pStyle w:val="Header"/>
              <w:rPr>
                <w:rFonts w:cs="Simplified Arabic"/>
                <w:color w:val="000000"/>
                <w:szCs w:val="24"/>
              </w:rPr>
            </w:pPr>
            <w:r w:rsidRPr="003B2394">
              <w:rPr>
                <w:rFonts w:cs="Simplified Arabic"/>
                <w:color w:val="000000"/>
                <w:szCs w:val="24"/>
              </w:rPr>
              <w:t>Inaya Zidan</w:t>
            </w:r>
          </w:p>
        </w:tc>
        <w:tc>
          <w:tcPr>
            <w:tcW w:w="5403" w:type="dxa"/>
            <w:vAlign w:val="center"/>
          </w:tcPr>
          <w:p w:rsidR="00FC6304" w:rsidRPr="003B2394"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tcPr>
          <w:p w:rsidR="00FC6304" w:rsidRPr="003B2394" w:rsidRDefault="00FC6304" w:rsidP="00144F6A">
            <w:pPr>
              <w:pStyle w:val="Header"/>
              <w:rPr>
                <w:rFonts w:cs="Simplified Arabic"/>
                <w:b/>
                <w:bCs/>
                <w:color w:val="000000"/>
                <w:sz w:val="18"/>
                <w:szCs w:val="18"/>
              </w:rPr>
            </w:pPr>
          </w:p>
        </w:tc>
        <w:tc>
          <w:tcPr>
            <w:tcW w:w="2939" w:type="dxa"/>
            <w:vAlign w:val="center"/>
          </w:tcPr>
          <w:p w:rsidR="00FC6304" w:rsidRPr="003B2394" w:rsidRDefault="00FC6304" w:rsidP="00144F6A">
            <w:pPr>
              <w:pStyle w:val="Header"/>
              <w:rPr>
                <w:rFonts w:cs="Simplified Arabic"/>
                <w:b/>
                <w:bCs/>
                <w:color w:val="000000"/>
                <w:sz w:val="18"/>
                <w:szCs w:val="18"/>
              </w:rPr>
            </w:pPr>
          </w:p>
        </w:tc>
        <w:tc>
          <w:tcPr>
            <w:tcW w:w="5403" w:type="dxa"/>
            <w:vAlign w:val="center"/>
          </w:tcPr>
          <w:p w:rsidR="00FC6304" w:rsidRPr="003B2394"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tcPr>
          <w:p w:rsidR="00FC6304" w:rsidRPr="003B2394"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tl/>
              </w:rPr>
            </w:pPr>
            <w:r w:rsidRPr="003B2394">
              <w:rPr>
                <w:rFonts w:cs="Simplified Arabic"/>
                <w:b/>
                <w:bCs/>
                <w:color w:val="000000"/>
                <w:szCs w:val="24"/>
              </w:rPr>
              <w:t>Overall Supervision</w:t>
            </w:r>
          </w:p>
        </w:tc>
        <w:tc>
          <w:tcPr>
            <w:tcW w:w="5403" w:type="dxa"/>
            <w:vAlign w:val="center"/>
          </w:tcPr>
          <w:p w:rsidR="00FC6304" w:rsidRPr="003B2394"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3B2394" w:rsidRDefault="00FC6304" w:rsidP="00144F6A">
            <w:pPr>
              <w:pStyle w:val="Header"/>
              <w:rPr>
                <w:rFonts w:cs="Simplified Arabic"/>
                <w:b/>
                <w:bCs/>
                <w:color w:val="000000"/>
                <w:szCs w:val="24"/>
              </w:rPr>
            </w:pPr>
          </w:p>
        </w:tc>
        <w:tc>
          <w:tcPr>
            <w:tcW w:w="2939" w:type="dxa"/>
            <w:vAlign w:val="center"/>
          </w:tcPr>
          <w:p w:rsidR="00FC6304" w:rsidRPr="00AE7263" w:rsidRDefault="00BA5A85" w:rsidP="00BA5A85">
            <w:pPr>
              <w:pStyle w:val="Header"/>
              <w:rPr>
                <w:rFonts w:cs="Simplified Arabic"/>
                <w:color w:val="000000"/>
                <w:szCs w:val="24"/>
                <w:lang w:val="en-US"/>
              </w:rPr>
            </w:pPr>
            <w:r>
              <w:rPr>
                <w:rFonts w:cs="Simplified Arabic"/>
                <w:color w:val="000000"/>
                <w:szCs w:val="24"/>
                <w:lang w:val="en-US"/>
              </w:rPr>
              <w:t xml:space="preserve">Dr. </w:t>
            </w:r>
            <w:r w:rsidR="00FC6304" w:rsidRPr="003B2394">
              <w:rPr>
                <w:rFonts w:cs="Simplified Arabic"/>
                <w:color w:val="000000"/>
                <w:szCs w:val="24"/>
              </w:rPr>
              <w:t>Ola Awad</w:t>
            </w:r>
          </w:p>
        </w:tc>
        <w:tc>
          <w:tcPr>
            <w:tcW w:w="5403" w:type="dxa"/>
            <w:vAlign w:val="center"/>
          </w:tcPr>
          <w:p w:rsidR="00FC6304" w:rsidRPr="003B2394" w:rsidRDefault="00FC6304" w:rsidP="00A50CA2">
            <w:pPr>
              <w:pStyle w:val="Header"/>
              <w:rPr>
                <w:rFonts w:cs="Simplified Arabic"/>
                <w:color w:val="000000"/>
                <w:szCs w:val="24"/>
              </w:rPr>
            </w:pPr>
            <w:r w:rsidRPr="003B2394">
              <w:rPr>
                <w:rFonts w:cs="Simplified Arabic"/>
                <w:color w:val="000000"/>
                <w:szCs w:val="24"/>
              </w:rPr>
              <w:t>President of  PCBS</w:t>
            </w:r>
          </w:p>
        </w:tc>
      </w:tr>
    </w:tbl>
    <w:p w:rsidR="00FC6304" w:rsidRPr="003C25B4" w:rsidRDefault="00FC6304" w:rsidP="00FC6304">
      <w:pPr>
        <w:pStyle w:val="Title"/>
        <w:rPr>
          <w:rFonts w:cs="Simplified Arabic"/>
          <w:color w:val="000000"/>
          <w:sz w:val="28"/>
          <w:szCs w:val="28"/>
          <w:rtl/>
        </w:rPr>
      </w:pPr>
    </w:p>
    <w:p w:rsidR="00FC6304" w:rsidRPr="003C25B4" w:rsidRDefault="00FC6304" w:rsidP="00FC6304">
      <w:pPr>
        <w:pStyle w:val="BlockText"/>
        <w:ind w:left="0" w:right="567"/>
        <w:jc w:val="center"/>
        <w:rPr>
          <w:b/>
          <w:bCs/>
          <w:color w:val="000000"/>
          <w:sz w:val="28"/>
          <w:szCs w:val="28"/>
          <w:lang w:eastAsia="en-US"/>
        </w:rPr>
      </w:pPr>
      <w:r w:rsidRPr="003C25B4">
        <w:rPr>
          <w:b/>
          <w:bCs/>
          <w:color w:val="000000"/>
          <w:sz w:val="28"/>
          <w:szCs w:val="28"/>
          <w:lang w:eastAsia="en-US"/>
        </w:rPr>
        <w:t xml:space="preserve"> </w:t>
      </w: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Pr="005D30E8" w:rsidRDefault="00FC6304" w:rsidP="00FC6304">
      <w:pPr>
        <w:jc w:val="center"/>
        <w:rPr>
          <w:b/>
          <w:bCs/>
          <w:color w:val="000000"/>
          <w:sz w:val="28"/>
          <w:szCs w:val="28"/>
        </w:rPr>
      </w:pPr>
      <w:r w:rsidRPr="003C25B4">
        <w:rPr>
          <w:b/>
          <w:bCs/>
          <w:color w:val="000000"/>
          <w:sz w:val="28"/>
          <w:szCs w:val="28"/>
        </w:rPr>
        <w:br w:type="page"/>
      </w:r>
      <w:r w:rsidRPr="005D30E8">
        <w:rPr>
          <w:b/>
          <w:bCs/>
          <w:color w:val="000000"/>
          <w:sz w:val="28"/>
          <w:szCs w:val="28"/>
        </w:rPr>
        <w:lastRenderedPageBreak/>
        <w:t>Notice For Users</w:t>
      </w:r>
    </w:p>
    <w:p w:rsidR="00FC6304" w:rsidRPr="005D30E8" w:rsidRDefault="00FC6304" w:rsidP="00FC6304">
      <w:pPr>
        <w:jc w:val="center"/>
        <w:rPr>
          <w:b/>
          <w:bCs/>
          <w:color w:val="000000"/>
        </w:rPr>
      </w:pPr>
    </w:p>
    <w:p w:rsidR="00036E35" w:rsidRPr="00036E35" w:rsidRDefault="00036E35" w:rsidP="00036E35">
      <w:pPr>
        <w:pStyle w:val="Heading3"/>
        <w:spacing w:before="0" w:after="0"/>
        <w:ind w:left="284"/>
        <w:jc w:val="both"/>
        <w:rPr>
          <w:rFonts w:ascii="Times New Roman" w:hAnsi="Times New Roman"/>
          <w:b w:val="0"/>
          <w:bCs w:val="0"/>
          <w:sz w:val="24"/>
          <w:szCs w:val="24"/>
          <w:lang w:eastAsia="ar-SA"/>
        </w:rPr>
      </w:pPr>
    </w:p>
    <w:p w:rsidR="00F1355B" w:rsidRDefault="00F1355B" w:rsidP="00F1355B">
      <w:pPr>
        <w:pStyle w:val="ListParagraph"/>
        <w:numPr>
          <w:ilvl w:val="0"/>
          <w:numId w:val="41"/>
        </w:numPr>
        <w:bidi w:val="0"/>
        <w:jc w:val="both"/>
      </w:pPr>
      <w:r>
        <w:t xml:space="preserve">The researcher prepared this study based on data derived from PCBS databases and other resources.  </w:t>
      </w:r>
    </w:p>
    <w:p w:rsidR="00F1355B" w:rsidRDefault="00F1355B" w:rsidP="00F1355B">
      <w:pPr>
        <w:jc w:val="both"/>
        <w:rPr>
          <w:lang w:eastAsia="ar-SA"/>
        </w:rPr>
      </w:pPr>
    </w:p>
    <w:p w:rsidR="00F1355B" w:rsidRDefault="00F1355B" w:rsidP="00F1355B">
      <w:pPr>
        <w:pStyle w:val="ListParagraph"/>
        <w:numPr>
          <w:ilvl w:val="0"/>
          <w:numId w:val="41"/>
        </w:numPr>
        <w:bidi w:val="0"/>
        <w:jc w:val="both"/>
      </w:pPr>
      <w:r>
        <w:t>In some tables, the total of percentages might not add up to 100% due to rounding.</w:t>
      </w:r>
    </w:p>
    <w:p w:rsidR="00B847D7" w:rsidRPr="00F1355B" w:rsidRDefault="00B847D7" w:rsidP="00B847D7">
      <w:pPr>
        <w:rPr>
          <w:lang w:eastAsia="ar-SA"/>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Pr="0035585B" w:rsidRDefault="00FC6304" w:rsidP="00FC6304">
      <w:pPr>
        <w:jc w:val="center"/>
        <w:rPr>
          <w:b/>
          <w:bCs/>
          <w:color w:val="000000"/>
          <w:sz w:val="28"/>
          <w:szCs w:val="28"/>
          <w:rtl/>
          <w:lang w:val="en-US"/>
        </w:rPr>
      </w:pPr>
    </w:p>
    <w:p w:rsidR="005F67FB" w:rsidRDefault="00FC6304" w:rsidP="005F67FB">
      <w:pPr>
        <w:jc w:val="center"/>
        <w:rPr>
          <w:b/>
          <w:bCs/>
          <w:sz w:val="28"/>
          <w:szCs w:val="28"/>
        </w:rPr>
      </w:pPr>
      <w:r>
        <w:rPr>
          <w:b/>
          <w:bCs/>
          <w:color w:val="000000"/>
          <w:sz w:val="28"/>
          <w:szCs w:val="28"/>
        </w:rPr>
        <w:br w:type="page"/>
      </w:r>
      <w:r w:rsidR="005F67FB" w:rsidRPr="007979F6">
        <w:rPr>
          <w:b/>
          <w:bCs/>
          <w:sz w:val="28"/>
          <w:szCs w:val="28"/>
        </w:rPr>
        <w:lastRenderedPageBreak/>
        <w:t>Introduction</w:t>
      </w:r>
    </w:p>
    <w:p w:rsidR="005F67FB" w:rsidRDefault="005F67FB" w:rsidP="005F67FB">
      <w:pPr>
        <w:ind w:left="-2"/>
        <w:jc w:val="center"/>
        <w:rPr>
          <w:b/>
          <w:bCs/>
          <w:sz w:val="28"/>
          <w:szCs w:val="28"/>
        </w:rPr>
      </w:pPr>
    </w:p>
    <w:p w:rsidR="00F1355B" w:rsidRPr="00F1355B" w:rsidRDefault="00F1355B" w:rsidP="00F1355B">
      <w:pPr>
        <w:spacing w:after="120" w:line="264" w:lineRule="auto"/>
        <w:jc w:val="both"/>
        <w:rPr>
          <w:rFonts w:eastAsiaTheme="minorEastAsia"/>
          <w:lang w:val="en-US" w:eastAsia="en-US"/>
        </w:rPr>
      </w:pPr>
      <w:r w:rsidRPr="00F1355B">
        <w:rPr>
          <w:rFonts w:eastAsiaTheme="minorEastAsia"/>
          <w:lang w:val="en-US" w:eastAsia="en-US"/>
        </w:rPr>
        <w:t>Censuses are considered one of the most important data sources, where the Palestinian Central Bureau of Statistics (PCBS) implemented the first and second Population, Housing and Establishments Censuses in the years 1997 and 2007, then the third census in 2017, through which an integrated set of data related to population, social and economic characteristics of the society was obtained. In addition, PCBS has implemented many household surveys. Thus, this study has relied on the data of those sources.</w:t>
      </w:r>
    </w:p>
    <w:p w:rsidR="00F1355B" w:rsidRPr="00F1355B" w:rsidRDefault="00F1355B" w:rsidP="00F1355B">
      <w:pPr>
        <w:spacing w:after="120" w:line="264" w:lineRule="auto"/>
        <w:jc w:val="both"/>
        <w:rPr>
          <w:rFonts w:eastAsiaTheme="minorEastAsia"/>
          <w:sz w:val="16"/>
          <w:szCs w:val="16"/>
          <w:lang w:val="en-US" w:eastAsia="en-US"/>
        </w:rPr>
      </w:pPr>
    </w:p>
    <w:p w:rsidR="00F1355B" w:rsidRPr="00F1355B" w:rsidRDefault="00F1355B" w:rsidP="00F1355B">
      <w:pPr>
        <w:spacing w:after="120" w:line="264" w:lineRule="auto"/>
        <w:jc w:val="both"/>
        <w:rPr>
          <w:rFonts w:eastAsiaTheme="minorEastAsia"/>
          <w:lang w:val="en-US" w:eastAsia="en-US"/>
        </w:rPr>
      </w:pPr>
      <w:r w:rsidRPr="00F1355B">
        <w:rPr>
          <w:rFonts w:eastAsiaTheme="minorEastAsia"/>
          <w:lang w:val="en-US" w:eastAsia="en-US"/>
        </w:rPr>
        <w:t>To that end and in order to make the best use of these data, PCBS has issued a series of statistical reports from the census data and various surveys, including detailed reports on the characteristics of population, housing, buildings and establishments. As a complementation of the dissemination and circulation of census data and to achieve the optimal use of these data, PCBS implements a census data analysis project, in cooperation with a group of researchers and private sector institutions. Hence, this project includes preparing a series of analytical reports of the census results to allow the community members to better understand census data.</w:t>
      </w:r>
    </w:p>
    <w:p w:rsidR="00F1355B" w:rsidRPr="00F1355B" w:rsidRDefault="00F1355B" w:rsidP="00F1355B">
      <w:pPr>
        <w:spacing w:after="120" w:line="264" w:lineRule="auto"/>
        <w:jc w:val="both"/>
        <w:rPr>
          <w:rFonts w:eastAsiaTheme="minorEastAsia"/>
          <w:sz w:val="16"/>
          <w:szCs w:val="16"/>
          <w:lang w:val="en-US" w:eastAsia="en-US"/>
        </w:rPr>
      </w:pPr>
    </w:p>
    <w:p w:rsidR="00F1355B" w:rsidRPr="00F1355B" w:rsidRDefault="00F1355B" w:rsidP="00AE3D51">
      <w:pPr>
        <w:spacing w:after="120" w:line="264" w:lineRule="auto"/>
        <w:jc w:val="both"/>
        <w:rPr>
          <w:rFonts w:eastAsiaTheme="minorEastAsia"/>
          <w:rtl/>
          <w:lang w:val="en-US" w:eastAsia="en-US"/>
        </w:rPr>
      </w:pPr>
      <w:r w:rsidRPr="00F1355B">
        <w:rPr>
          <w:rFonts w:eastAsiaTheme="minorEastAsia"/>
          <w:lang w:val="en-US" w:eastAsia="en-US"/>
        </w:rPr>
        <w:t>The Study of Establishments mainly aims at identifying the characteristics of the economic establishments being the main institutionalized frame for generating the value added in the Palestinian economy at the national, regional (West Bank and Gaza Strip) and local (</w:t>
      </w:r>
      <w:r w:rsidR="00AE3D51">
        <w:rPr>
          <w:rFonts w:eastAsiaTheme="minorEastAsia"/>
          <w:lang w:val="en-US" w:eastAsia="en-US"/>
        </w:rPr>
        <w:t>g</w:t>
      </w:r>
      <w:r w:rsidRPr="00F1355B">
        <w:rPr>
          <w:rFonts w:eastAsiaTheme="minorEastAsia"/>
          <w:lang w:val="en-US" w:eastAsia="en-US"/>
        </w:rPr>
        <w:t xml:space="preserve">overnorates) levels, including their distribution by legal entity, ownership, economic activities, categories of employment size and providing recommendations on how to fix them. This is in addition to revealing directions of growth and change in size and distribution of employees in such establishments by sex, economic activities, as well as identifying imbalances and gaps arising there. Also, the study gave special interest on women participation in order to draw attention on the inequality phenomena that women face in many economic activities.  </w:t>
      </w:r>
    </w:p>
    <w:p w:rsidR="00F1355B" w:rsidRPr="00F1355B" w:rsidRDefault="00F1355B" w:rsidP="00F1355B">
      <w:pPr>
        <w:spacing w:after="120" w:line="264" w:lineRule="auto"/>
        <w:jc w:val="both"/>
        <w:rPr>
          <w:rFonts w:eastAsiaTheme="minorEastAsia"/>
          <w:sz w:val="16"/>
          <w:szCs w:val="16"/>
          <w:lang w:val="en-US" w:eastAsia="en-US"/>
        </w:rPr>
      </w:pPr>
    </w:p>
    <w:p w:rsidR="00F1355B" w:rsidRPr="00F1355B" w:rsidRDefault="00F1355B" w:rsidP="00F1355B">
      <w:pPr>
        <w:spacing w:after="120" w:line="264" w:lineRule="auto"/>
        <w:jc w:val="both"/>
        <w:rPr>
          <w:rFonts w:eastAsiaTheme="minorEastAsia"/>
          <w:lang w:val="en-US" w:eastAsia="en-US"/>
        </w:rPr>
      </w:pPr>
      <w:r w:rsidRPr="00F1355B">
        <w:rPr>
          <w:rFonts w:eastAsiaTheme="minorEastAsia"/>
          <w:lang w:val="en-US" w:eastAsia="en-US"/>
        </w:rPr>
        <w:t>Accordingly, the purpose of achieving these goals is not only to make a diagnosis based on the quality of field information, but also for providing recommendations necessary to process the gaps, and figuring out weaknesses and challenges, in order to contribute in improving the Palestinian economy and increasing its ability to accumulate and enhance the requirements of Palestinians resilience in their home country.</w:t>
      </w:r>
    </w:p>
    <w:p w:rsidR="00F1355B" w:rsidRPr="00F1355B" w:rsidRDefault="00F1355B" w:rsidP="00F1355B">
      <w:pPr>
        <w:spacing w:after="120" w:line="264" w:lineRule="auto"/>
        <w:jc w:val="both"/>
        <w:rPr>
          <w:rFonts w:eastAsiaTheme="minorEastAsia"/>
          <w:sz w:val="16"/>
          <w:szCs w:val="16"/>
          <w:lang w:val="en-US" w:eastAsia="en-US"/>
        </w:rPr>
      </w:pPr>
    </w:p>
    <w:p w:rsidR="00F1355B" w:rsidRPr="00F1355B" w:rsidRDefault="00F1355B" w:rsidP="00F1355B">
      <w:pPr>
        <w:spacing w:after="120" w:line="264" w:lineRule="auto"/>
        <w:jc w:val="both"/>
        <w:rPr>
          <w:rFonts w:eastAsiaTheme="minorEastAsia"/>
          <w:lang w:val="en-US" w:eastAsia="en-US"/>
        </w:rPr>
      </w:pPr>
      <w:r w:rsidRPr="00F1355B">
        <w:rPr>
          <w:rFonts w:eastAsiaTheme="minorEastAsia"/>
          <w:lang w:val="en-US" w:eastAsia="en-US"/>
        </w:rPr>
        <w:t>We are pleased to introduce the study of “ Development of the Palestinian Establishments  2012, 2017” as one of the outcomes of the census data analysis project, hoping that it would be an important reference for planners and decision makers in the Palestinian public and private sectors and all users towards building the State of Palestine based on sound, scientific foundations</w:t>
      </w:r>
      <w:r w:rsidRPr="00F1355B">
        <w:rPr>
          <w:rFonts w:eastAsiaTheme="minorEastAsia"/>
          <w:rtl/>
          <w:lang w:val="en-US" w:eastAsia="en-US"/>
        </w:rPr>
        <w:t>.</w:t>
      </w:r>
    </w:p>
    <w:p w:rsidR="005F67FB" w:rsidRDefault="005F67FB" w:rsidP="005F67FB">
      <w:pPr>
        <w:jc w:val="both"/>
      </w:pPr>
    </w:p>
    <w:p w:rsidR="005F67FB" w:rsidRPr="00175A86" w:rsidRDefault="005F67FB" w:rsidP="005F67FB">
      <w:pPr>
        <w:jc w:val="both"/>
        <w:rPr>
          <w:rtl/>
        </w:rPr>
      </w:pPr>
    </w:p>
    <w:p w:rsidR="005F67FB" w:rsidRPr="00175A86" w:rsidRDefault="005F67FB" w:rsidP="005F67FB">
      <w:pPr>
        <w:jc w:val="both"/>
        <w:rPr>
          <w:rtl/>
        </w:rPr>
      </w:pPr>
    </w:p>
    <w:tbl>
      <w:tblPr>
        <w:tblW w:w="0" w:type="auto"/>
        <w:tblBorders>
          <w:insideH w:val="single" w:sz="8" w:space="0" w:color="auto"/>
        </w:tblBorders>
        <w:tblLook w:val="04A0" w:firstRow="1" w:lastRow="0" w:firstColumn="1" w:lastColumn="0" w:noHBand="0" w:noVBand="1"/>
      </w:tblPr>
      <w:tblGrid>
        <w:gridCol w:w="2470"/>
        <w:gridCol w:w="3439"/>
        <w:gridCol w:w="3161"/>
      </w:tblGrid>
      <w:tr w:rsidR="005F67FB" w:rsidRPr="00175A86" w:rsidTr="00BE1177">
        <w:tc>
          <w:tcPr>
            <w:tcW w:w="2518" w:type="dxa"/>
          </w:tcPr>
          <w:p w:rsidR="005F67FB" w:rsidRPr="00081C7F" w:rsidRDefault="0054164F" w:rsidP="00BE1177">
            <w:pPr>
              <w:rPr>
                <w:b/>
                <w:bCs/>
                <w:lang w:val="en-US"/>
              </w:rPr>
            </w:pPr>
            <w:r>
              <w:rPr>
                <w:b/>
                <w:bCs/>
                <w:color w:val="000000"/>
                <w:lang w:val="en-US"/>
              </w:rPr>
              <w:t>August</w:t>
            </w:r>
            <w:r w:rsidR="00DF2E19">
              <w:rPr>
                <w:b/>
                <w:bCs/>
                <w:color w:val="000000"/>
                <w:lang w:val="en-US"/>
              </w:rPr>
              <w:t>,</w:t>
            </w:r>
            <w:r w:rsidR="005F67FB" w:rsidRPr="00175A86">
              <w:rPr>
                <w:b/>
                <w:bCs/>
              </w:rPr>
              <w:t xml:space="preserve"> </w:t>
            </w:r>
            <w:r w:rsidR="005F67FB">
              <w:rPr>
                <w:b/>
                <w:bCs/>
                <w:lang w:val="en-US"/>
              </w:rPr>
              <w:t>2020</w:t>
            </w:r>
          </w:p>
        </w:tc>
        <w:tc>
          <w:tcPr>
            <w:tcW w:w="3544" w:type="dxa"/>
          </w:tcPr>
          <w:p w:rsidR="005F67FB" w:rsidRPr="00175A86" w:rsidRDefault="005F67FB" w:rsidP="00BE1177">
            <w:pPr>
              <w:rPr>
                <w:b/>
                <w:bCs/>
              </w:rPr>
            </w:pPr>
          </w:p>
          <w:p w:rsidR="005F67FB" w:rsidRPr="00175A86" w:rsidRDefault="005F67FB" w:rsidP="00BE1177">
            <w:pPr>
              <w:jc w:val="both"/>
              <w:rPr>
                <w:b/>
                <w:bCs/>
                <w:rtl/>
              </w:rPr>
            </w:pPr>
          </w:p>
        </w:tc>
        <w:tc>
          <w:tcPr>
            <w:tcW w:w="3224" w:type="dxa"/>
            <w:vAlign w:val="center"/>
          </w:tcPr>
          <w:p w:rsidR="005F67FB" w:rsidRDefault="005F67FB" w:rsidP="00BE1177">
            <w:pPr>
              <w:ind w:left="38"/>
              <w:jc w:val="center"/>
              <w:rPr>
                <w:b/>
                <w:bCs/>
                <w:lang w:val="en-US"/>
              </w:rPr>
            </w:pPr>
            <w:r>
              <w:rPr>
                <w:b/>
                <w:bCs/>
                <w:lang w:val="en-US"/>
              </w:rPr>
              <w:t xml:space="preserve">Dr. </w:t>
            </w:r>
            <w:r w:rsidRPr="00175A86">
              <w:rPr>
                <w:b/>
                <w:bCs/>
              </w:rPr>
              <w:t>Ola Awad</w:t>
            </w:r>
          </w:p>
          <w:p w:rsidR="005F67FB" w:rsidRPr="005135F7" w:rsidRDefault="005F67FB" w:rsidP="00BE1177">
            <w:pPr>
              <w:ind w:left="38"/>
              <w:jc w:val="center"/>
              <w:rPr>
                <w:b/>
                <w:bCs/>
                <w:sz w:val="16"/>
                <w:szCs w:val="16"/>
                <w:lang w:val="en-US"/>
              </w:rPr>
            </w:pPr>
          </w:p>
          <w:p w:rsidR="005F67FB" w:rsidRPr="005E3165" w:rsidRDefault="005F67FB" w:rsidP="00BE1177">
            <w:pPr>
              <w:ind w:left="38"/>
              <w:jc w:val="center"/>
              <w:rPr>
                <w:b/>
                <w:bCs/>
                <w:rtl/>
                <w:lang w:val="en-US"/>
              </w:rPr>
            </w:pPr>
            <w:r w:rsidRPr="00175A86">
              <w:rPr>
                <w:b/>
                <w:bCs/>
              </w:rPr>
              <w:t>President of PCBS</w:t>
            </w:r>
          </w:p>
        </w:tc>
      </w:tr>
    </w:tbl>
    <w:p w:rsidR="005F67FB" w:rsidRPr="00F77F70" w:rsidRDefault="005F67FB" w:rsidP="005F67FB">
      <w:pPr>
        <w:jc w:val="both"/>
        <w:rPr>
          <w:rFonts w:ascii="Simplified Arabic" w:hAnsi="Simplified Arabic" w:cs="Simplified Arabic"/>
          <w:b/>
          <w:bCs/>
          <w:sz w:val="20"/>
          <w:szCs w:val="20"/>
        </w:rPr>
      </w:pPr>
    </w:p>
    <w:p w:rsidR="005F67FB" w:rsidRPr="00F77F70" w:rsidRDefault="005F67FB" w:rsidP="005F67FB">
      <w:pPr>
        <w:jc w:val="both"/>
        <w:rPr>
          <w:rFonts w:ascii="Simplified Arabic" w:hAnsi="Simplified Arabic" w:cs="Simplified Arabic"/>
          <w:b/>
          <w:bCs/>
          <w:sz w:val="20"/>
          <w:szCs w:val="20"/>
        </w:rPr>
      </w:pPr>
    </w:p>
    <w:p w:rsidR="005F67FB" w:rsidRDefault="005F67FB" w:rsidP="005F67FB">
      <w:pPr>
        <w:rPr>
          <w:rFonts w:ascii="Simplified Arabic" w:hAnsi="Simplified Arabic" w:cs="Simplified Arabic"/>
          <w:b/>
          <w:bCs/>
          <w:sz w:val="20"/>
          <w:szCs w:val="20"/>
          <w:lang w:val="en-US"/>
        </w:rPr>
      </w:pPr>
    </w:p>
    <w:p w:rsidR="005F67FB" w:rsidRDefault="005F67FB" w:rsidP="005F67FB">
      <w:pPr>
        <w:rPr>
          <w:rFonts w:ascii="Simplified Arabic" w:hAnsi="Simplified Arabic" w:cs="Simplified Arabic"/>
          <w:b/>
          <w:bCs/>
          <w:sz w:val="20"/>
          <w:szCs w:val="20"/>
          <w:lang w:val="en-US"/>
        </w:rPr>
      </w:pPr>
    </w:p>
    <w:p w:rsidR="005F67FB" w:rsidRDefault="005F67FB" w:rsidP="005F67FB">
      <w:pPr>
        <w:rPr>
          <w:rFonts w:ascii="Simplified Arabic" w:hAnsi="Simplified Arabic" w:cs="Simplified Arabic"/>
          <w:b/>
          <w:bCs/>
          <w:sz w:val="20"/>
          <w:szCs w:val="20"/>
          <w:lang w:val="en-US"/>
        </w:rPr>
      </w:pPr>
    </w:p>
    <w:p w:rsidR="005F67FB" w:rsidRDefault="005F67FB" w:rsidP="005F67FB">
      <w:pPr>
        <w:rPr>
          <w:rFonts w:ascii="Simplified Arabic" w:hAnsi="Simplified Arabic" w:cs="Simplified Arabic"/>
          <w:b/>
          <w:bCs/>
          <w:sz w:val="20"/>
          <w:szCs w:val="20"/>
          <w:lang w:val="en-US"/>
        </w:rPr>
      </w:pPr>
    </w:p>
    <w:p w:rsidR="00FC6B5F" w:rsidRDefault="00FC6B5F" w:rsidP="005F67FB">
      <w:pPr>
        <w:jc w:val="cente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254072" w:rsidRPr="00D02614" w:rsidRDefault="00254072" w:rsidP="00904FC0">
      <w:pPr>
        <w:jc w:val="center"/>
        <w:rPr>
          <w:b/>
          <w:lang w:val="en-US"/>
        </w:rPr>
      </w:pPr>
      <w:bookmarkStart w:id="2" w:name="_Toc22222529"/>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A7274B" w:rsidRPr="00D02614" w:rsidRDefault="00A7274B">
      <w:pPr>
        <w:rPr>
          <w:b/>
          <w:lang w:val="en-US"/>
        </w:rPr>
      </w:pPr>
    </w:p>
    <w:bookmarkEnd w:id="2"/>
    <w:p w:rsidR="0032673A" w:rsidRPr="00B03BE7" w:rsidRDefault="0032673A" w:rsidP="00D06E51">
      <w:pPr>
        <w:jc w:val="center"/>
        <w:rPr>
          <w:b/>
          <w:lang w:val="en-US"/>
        </w:rPr>
      </w:pPr>
      <w:r w:rsidRPr="00D02614">
        <w:rPr>
          <w:b/>
          <w:sz w:val="28"/>
          <w:szCs w:val="28"/>
          <w:lang w:val="en-US"/>
        </w:rPr>
        <w:lastRenderedPageBreak/>
        <w:t>Executive Summary</w:t>
      </w:r>
    </w:p>
    <w:p w:rsidR="0032673A" w:rsidRPr="00035651" w:rsidRDefault="0032673A" w:rsidP="00D06E51">
      <w:pPr>
        <w:pStyle w:val="BodyText"/>
        <w:rPr>
          <w:b/>
          <w:bCs/>
        </w:rPr>
      </w:pPr>
    </w:p>
    <w:p w:rsidR="00D06E51" w:rsidRPr="00D06E51" w:rsidRDefault="00D06E51" w:rsidP="00D06E51">
      <w:pPr>
        <w:numPr>
          <w:ilvl w:val="0"/>
          <w:numId w:val="32"/>
        </w:numPr>
        <w:spacing w:line="264" w:lineRule="auto"/>
        <w:ind w:left="284" w:hanging="284"/>
        <w:rPr>
          <w:rFonts w:eastAsiaTheme="minorEastAsia"/>
          <w:b/>
          <w:bCs/>
          <w:lang w:val="en-US" w:eastAsia="en-US"/>
        </w:rPr>
      </w:pPr>
      <w:r w:rsidRPr="00D06E51">
        <w:rPr>
          <w:rFonts w:eastAsiaTheme="minorEastAsia"/>
          <w:b/>
          <w:bCs/>
          <w:lang w:val="en-US" w:eastAsia="en-US"/>
        </w:rPr>
        <w:t>Introduction</w:t>
      </w: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The Establishments Census is considered as the most important source of economic information for policy makers, economic planning bodies, researchers, entrepreneurs and all those working in economic development. Thus, the Economic Establishments Census, which is carried out every 5 years by PCBS as per the standard/best international statistics practices, is the sixth of its kind in Palestine since 1994. It was carried out within the Population, Housing and Establishments Census, 2017; where H.E. President, Mahmoud Abbas, considered such success "a legal, developmental, national and sovereign entitlement", and is "a cornerstone in the building process of the country and in laying the foundations for the proper planning". H.E. also highlighted the importance of the data provided by the Census to the leadership and other official bodies in the preparation of future development plans and programs, and to translate them into actual plans to carry on with the development and building process, as well as providing the best services to our Palestinian people and it different sectors."</w:t>
      </w:r>
      <w:r w:rsidRPr="00D06E51">
        <w:rPr>
          <w:rFonts w:eastAsiaTheme="minorEastAsia"/>
          <w:vertAlign w:val="superscript"/>
          <w:lang w:val="en-US" w:eastAsia="en-US"/>
        </w:rPr>
        <w:footnoteReference w:id="1"/>
      </w:r>
      <w:r w:rsidRPr="00D06E51">
        <w:rPr>
          <w:rFonts w:eastAsiaTheme="minorEastAsia"/>
          <w:lang w:val="en-US" w:eastAsia="en-US"/>
        </w:rPr>
        <w:t xml:space="preserve"> </w:t>
      </w:r>
    </w:p>
    <w:p w:rsidR="00D06E51" w:rsidRPr="00D06E51" w:rsidRDefault="00D06E51" w:rsidP="00D06E51">
      <w:pPr>
        <w:spacing w:line="264" w:lineRule="auto"/>
        <w:rPr>
          <w:rFonts w:eastAsiaTheme="minorEastAsia"/>
          <w:lang w:val="en-US" w:eastAsia="en-US"/>
        </w:rPr>
      </w:pP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H.E. Dr. Ola Awad, President of PCBS, considered that the Population, Housing and Establishments Census of 2017, which is carried out every 10 years to be a good opportunity to conduct the 6</w:t>
      </w:r>
      <w:r w:rsidRPr="00D06E51">
        <w:rPr>
          <w:rFonts w:eastAsiaTheme="minorEastAsia"/>
          <w:vertAlign w:val="superscript"/>
          <w:lang w:val="en-US" w:eastAsia="en-US"/>
        </w:rPr>
        <w:t>th</w:t>
      </w:r>
      <w:r w:rsidRPr="00D06E51">
        <w:rPr>
          <w:rFonts w:eastAsiaTheme="minorEastAsia"/>
          <w:lang w:val="en-US" w:eastAsia="en-US"/>
        </w:rPr>
        <w:t xml:space="preserve"> Economic Establishments Census.  Carrying out both censuses as one package allowed capturing economic establishments easily, including micro enterprises that are randomly distributed in the inhabited neighborhoods in all localities, as well as reducing its implementation costs. The importance of the Economic Establishments Census is not limited to the density and quality of its findings, but also it contributes to the database update necessary for designing random samples for the annual and quarterly surveys conducted by PCBS. Moreover, it enables its researchers to reach the individuals of those samples easily and effectively. It is worth noting that the 6</w:t>
      </w:r>
      <w:r w:rsidRPr="00D06E51">
        <w:rPr>
          <w:rFonts w:eastAsiaTheme="minorEastAsia"/>
          <w:vertAlign w:val="superscript"/>
          <w:lang w:val="en-US" w:eastAsia="en-US"/>
        </w:rPr>
        <w:t>th</w:t>
      </w:r>
      <w:r w:rsidRPr="00D06E51">
        <w:rPr>
          <w:rFonts w:eastAsiaTheme="minorEastAsia"/>
          <w:lang w:val="en-US" w:eastAsia="en-US"/>
        </w:rPr>
        <w:t xml:space="preserve"> Establishments Census</w:t>
      </w:r>
      <w:r w:rsidRPr="00D06E51">
        <w:rPr>
          <w:rFonts w:eastAsiaTheme="minorEastAsia"/>
          <w:vertAlign w:val="superscript"/>
          <w:lang w:val="en-US" w:eastAsia="en-US"/>
        </w:rPr>
        <w:footnoteReference w:id="2"/>
      </w:r>
      <w:r w:rsidRPr="00D06E51">
        <w:rPr>
          <w:rFonts w:eastAsiaTheme="minorEastAsia"/>
          <w:lang w:val="en-US" w:eastAsia="en-US"/>
        </w:rPr>
        <w:t xml:space="preserve"> was conducted for the first time with an integrated technology system by using Geographic Information Systems (GIS) and tablets.</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numPr>
          <w:ilvl w:val="0"/>
          <w:numId w:val="32"/>
        </w:numPr>
        <w:spacing w:line="264" w:lineRule="auto"/>
        <w:ind w:left="270" w:hanging="270"/>
        <w:jc w:val="both"/>
        <w:rPr>
          <w:rFonts w:eastAsiaTheme="minorEastAsia"/>
          <w:b/>
          <w:bCs/>
          <w:lang w:val="en-US" w:eastAsia="en-US"/>
        </w:rPr>
      </w:pPr>
      <w:r w:rsidRPr="00D06E51">
        <w:rPr>
          <w:rFonts w:eastAsiaTheme="minorEastAsia"/>
          <w:b/>
          <w:bCs/>
          <w:lang w:val="en-US" w:eastAsia="en-US"/>
        </w:rPr>
        <w:t>Study goals</w:t>
      </w:r>
    </w:p>
    <w:p w:rsidR="00D06E51" w:rsidRPr="00D06E51" w:rsidRDefault="00D06E51" w:rsidP="001879B5">
      <w:pPr>
        <w:spacing w:line="264" w:lineRule="auto"/>
        <w:jc w:val="both"/>
        <w:rPr>
          <w:rFonts w:eastAsiaTheme="minorEastAsia"/>
          <w:lang w:val="en-US" w:eastAsia="en-US"/>
        </w:rPr>
      </w:pPr>
      <w:r w:rsidRPr="00D06E51">
        <w:rPr>
          <w:rFonts w:eastAsiaTheme="minorEastAsia"/>
          <w:lang w:val="en-US" w:eastAsia="en-US"/>
        </w:rPr>
        <w:t>This executive summary highlights the main findings and conclusions of the Economic Establishments Census data 2017 analysis. It provides the results of the comparisons made between the values and trends of main indicators for the period 2012</w:t>
      </w:r>
      <w:r w:rsidR="001879B5">
        <w:rPr>
          <w:rFonts w:eastAsiaTheme="minorEastAsia"/>
          <w:lang w:val="en-US" w:eastAsia="en-US"/>
        </w:rPr>
        <w:t xml:space="preserve">, </w:t>
      </w:r>
      <w:r w:rsidRPr="00D06E51">
        <w:rPr>
          <w:rFonts w:eastAsiaTheme="minorEastAsia"/>
          <w:lang w:val="en-US" w:eastAsia="en-US"/>
        </w:rPr>
        <w:t xml:space="preserve">2017.  It is also worth mentioning that the size and variety of census data cannot be investigated in one study and in a short time. Therefore, it was necessary to focus on analyzing the most important indicators to achieve the study </w:t>
      </w:r>
      <w:bookmarkStart w:id="3" w:name="_Hlk38550011"/>
      <w:r w:rsidRPr="00D06E51">
        <w:rPr>
          <w:rFonts w:eastAsiaTheme="minorEastAsia"/>
          <w:lang w:val="en-US" w:eastAsia="en-US"/>
        </w:rPr>
        <w:t xml:space="preserve">goals </w:t>
      </w:r>
      <w:bookmarkEnd w:id="3"/>
      <w:r w:rsidRPr="00D06E51">
        <w:rPr>
          <w:rFonts w:eastAsiaTheme="minorEastAsia"/>
          <w:lang w:val="en-US" w:eastAsia="en-US"/>
        </w:rPr>
        <w:t>agreed upon by the PCBS and MAS Institute, and in particular:</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First: Disclosure of gaps and weaknesses in the characteristics of economic establishments as they constitute the main institutional framework for generating value added in the Palestinian economy at the national, the regional (West Bank and Gaza Strip) and the local (governorates) levels, and their distribution by legal entity, ownership, economic activities, and by Employment Size Group, and provide recommendations on their recovery.</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Second: To reveal the growth and change directions in the size and distribution of employees in the establishments by sex and economic activities at different levels; the national, regional and governorates levels, and specify the imbalances and gaps arising there.  The purpose of achieving those two goals is not only to make a diagnosis based on the quality of field information, but also for providing recommendations to process the gaps, and figuring out weaknesses and challenges through the analysis, in order to focus the development efforts on facing them by virtue of their importance in improving the Palestinian economy and increasing its ability to accumulate and enhance the requirements of the Palestinians resilience in their home country.</w:t>
      </w:r>
    </w:p>
    <w:p w:rsidR="00D06E51" w:rsidRPr="00D06E51" w:rsidRDefault="00D06E51" w:rsidP="00D06E51">
      <w:pPr>
        <w:spacing w:line="264" w:lineRule="auto"/>
        <w:jc w:val="both"/>
        <w:rPr>
          <w:rFonts w:eastAsiaTheme="minorEastAsia"/>
          <w:lang w:val="en-US" w:eastAsia="en-US"/>
        </w:rPr>
      </w:pPr>
    </w:p>
    <w:p w:rsidR="00D06E51" w:rsidRPr="00D06E51" w:rsidRDefault="00D06E51" w:rsidP="001879B5">
      <w:pPr>
        <w:spacing w:line="264" w:lineRule="auto"/>
        <w:jc w:val="both"/>
        <w:rPr>
          <w:rFonts w:eastAsiaTheme="minorEastAsia"/>
          <w:lang w:val="en-US" w:eastAsia="en-US"/>
        </w:rPr>
      </w:pPr>
      <w:r w:rsidRPr="00D06E51">
        <w:rPr>
          <w:rFonts w:eastAsiaTheme="minorEastAsia"/>
          <w:lang w:val="en-US" w:eastAsia="en-US"/>
        </w:rPr>
        <w:t>The study focused on analyzing all indicators at the national and regional levels, in order to give a comprehensive and a brief picture of the overall indicators of the establishments and their employees, and most attention was given to the analysis of indicators at the local level (i.e. governorates).  Thus, we focused on analyzing the changes that occurred in the governorates and their economic activities during the period 2012</w:t>
      </w:r>
      <w:r w:rsidR="001879B5">
        <w:rPr>
          <w:rFonts w:eastAsiaTheme="minorEastAsia"/>
          <w:lang w:val="en-US" w:eastAsia="en-US"/>
        </w:rPr>
        <w:t xml:space="preserve">, </w:t>
      </w:r>
      <w:r w:rsidRPr="00D06E51">
        <w:rPr>
          <w:rFonts w:eastAsiaTheme="minorEastAsia"/>
          <w:lang w:val="en-US" w:eastAsia="en-US"/>
        </w:rPr>
        <w:t>2017, and identifying the characteristics of each of them and the economic forces. This included analyzing size and growth indicators, in order to provide the necessary information to improve local development. The study also gave special attention to the topic of women's participation to draw attention to the phenomena of inequality they faced in many economic activities. We concluded the study by summarizing the role of each governorate and every economic activity in operating and generating value added, in addition to mking comparisons between governorates and activities to identify the strengths and weaknesses in the performance and the role of governorates and activities in creating value added.</w:t>
      </w:r>
    </w:p>
    <w:p w:rsidR="00D06E51" w:rsidRPr="00D06E51" w:rsidRDefault="00D06E51" w:rsidP="00D06E51">
      <w:pPr>
        <w:spacing w:line="264" w:lineRule="auto"/>
        <w:ind w:left="720"/>
        <w:jc w:val="both"/>
        <w:rPr>
          <w:rFonts w:eastAsiaTheme="minorEastAsia"/>
          <w:lang w:val="en-US" w:eastAsia="en-US"/>
        </w:rPr>
      </w:pPr>
    </w:p>
    <w:p w:rsidR="00D06E51" w:rsidRPr="00D06E51" w:rsidRDefault="00D06E51" w:rsidP="00D06E51">
      <w:pPr>
        <w:numPr>
          <w:ilvl w:val="0"/>
          <w:numId w:val="32"/>
        </w:numPr>
        <w:spacing w:line="264" w:lineRule="auto"/>
        <w:ind w:left="270" w:hanging="270"/>
        <w:jc w:val="both"/>
        <w:rPr>
          <w:rFonts w:eastAsiaTheme="minorEastAsia"/>
          <w:b/>
          <w:bCs/>
          <w:lang w:val="en-US" w:eastAsia="en-US"/>
        </w:rPr>
      </w:pPr>
      <w:r w:rsidRPr="00D06E51">
        <w:rPr>
          <w:rFonts w:eastAsiaTheme="minorEastAsia"/>
          <w:b/>
          <w:bCs/>
          <w:lang w:val="en-US" w:eastAsia="en-US"/>
        </w:rPr>
        <w:t>Distribution of Establishments at National, Regional and Governorate levels by Operating Status</w:t>
      </w:r>
    </w:p>
    <w:p w:rsidR="00D06E51" w:rsidRPr="00D06E51" w:rsidRDefault="00D06E51" w:rsidP="001879B5">
      <w:pPr>
        <w:spacing w:line="264" w:lineRule="auto"/>
        <w:jc w:val="both"/>
        <w:rPr>
          <w:rFonts w:eastAsiaTheme="minorEastAsia"/>
          <w:lang w:val="en-US" w:eastAsia="en-US"/>
        </w:rPr>
      </w:pPr>
      <w:r w:rsidRPr="00D06E51">
        <w:rPr>
          <w:rFonts w:eastAsiaTheme="minorEastAsia"/>
          <w:lang w:val="en-US" w:eastAsia="en-US"/>
        </w:rPr>
        <w:t>The results of the Economic Establishments Census, 2017 showed that the total enumerated establishments was  166,486 in Palestine (68.8% in the West Bank and 31.2% in Gaza Strip), which indicated an increase of 10.2% between 2012</w:t>
      </w:r>
      <w:r w:rsidR="001879B5">
        <w:rPr>
          <w:rFonts w:eastAsiaTheme="minorEastAsia"/>
          <w:lang w:val="en-US" w:eastAsia="en-US"/>
        </w:rPr>
        <w:t xml:space="preserve">, </w:t>
      </w:r>
      <w:r w:rsidRPr="00D06E51">
        <w:rPr>
          <w:rFonts w:eastAsiaTheme="minorEastAsia"/>
          <w:lang w:val="en-US" w:eastAsia="en-US"/>
        </w:rPr>
        <w:t>2017, at a rate of 2.0% annually</w:t>
      </w:r>
      <w:r w:rsidRPr="00D06E51">
        <w:rPr>
          <w:rFonts w:eastAsiaTheme="minorEastAsia"/>
          <w:vertAlign w:val="superscript"/>
          <w:rtl/>
          <w:lang w:val="en-US" w:eastAsia="en-US"/>
        </w:rPr>
        <w:footnoteReference w:id="3"/>
      </w:r>
      <w:r w:rsidRPr="00D06E51">
        <w:rPr>
          <w:rFonts w:eastAsiaTheme="minorEastAsia"/>
          <w:lang w:val="en-US" w:eastAsia="en-US"/>
        </w:rPr>
        <w:t xml:space="preserve">. Also, the growth rate in the number of establishments was 11.9% in the West Bank and 6.7% in Gaza Strip. </w:t>
      </w:r>
    </w:p>
    <w:p w:rsidR="00D06E51" w:rsidRPr="00D06E51" w:rsidRDefault="00D06E51" w:rsidP="00D06E51">
      <w:pPr>
        <w:spacing w:line="264" w:lineRule="auto"/>
        <w:jc w:val="both"/>
        <w:rPr>
          <w:rFonts w:eastAsiaTheme="minorEastAsia"/>
          <w:lang w:val="en-US" w:eastAsia="en-US"/>
        </w:rPr>
      </w:pPr>
    </w:p>
    <w:p w:rsidR="00D06E51" w:rsidRPr="00D06E51" w:rsidRDefault="00D06E51" w:rsidP="001879B5">
      <w:pPr>
        <w:spacing w:line="264" w:lineRule="auto"/>
        <w:jc w:val="both"/>
        <w:rPr>
          <w:rFonts w:eastAsiaTheme="minorEastAsia"/>
          <w:lang w:val="en-US" w:eastAsia="en-US"/>
        </w:rPr>
      </w:pPr>
      <w:r w:rsidRPr="00D06E51">
        <w:rPr>
          <w:rFonts w:eastAsiaTheme="minorEastAsia"/>
          <w:lang w:val="en-US" w:eastAsia="en-US"/>
        </w:rPr>
        <w:t>As for the distribution of establishments by operational status, census data indicated that there are 158,590 operating establishments (95.3% of the total number of establishments)</w:t>
      </w:r>
      <w:bookmarkStart w:id="4" w:name="_Hlk38621445"/>
      <w:r w:rsidRPr="00D06E51">
        <w:rPr>
          <w:rFonts w:eastAsiaTheme="minorEastAsia"/>
          <w:lang w:val="en-US" w:eastAsia="en-US"/>
        </w:rPr>
        <w:t xml:space="preserve">; indicating a decline of 0.7% </w:t>
      </w:r>
      <w:bookmarkEnd w:id="4"/>
      <w:r w:rsidRPr="00D06E51">
        <w:rPr>
          <w:rFonts w:eastAsiaTheme="minorEastAsia"/>
          <w:lang w:val="en-US" w:eastAsia="en-US"/>
        </w:rPr>
        <w:t xml:space="preserve">compared to 2012. At the same time, the percentage of temporarily closed establishments </w:t>
      </w:r>
      <w:bookmarkStart w:id="5" w:name="_Hlk38621647"/>
      <w:r w:rsidRPr="00D06E51">
        <w:rPr>
          <w:rFonts w:eastAsiaTheme="minorEastAsia"/>
          <w:lang w:val="en-US" w:eastAsia="en-US"/>
        </w:rPr>
        <w:t xml:space="preserve">increased </w:t>
      </w:r>
      <w:bookmarkEnd w:id="5"/>
      <w:r w:rsidRPr="00D06E51">
        <w:rPr>
          <w:rFonts w:eastAsiaTheme="minorEastAsia"/>
          <w:lang w:val="en-US" w:eastAsia="en-US"/>
        </w:rPr>
        <w:t>by 0.5% for the same period 2012</w:t>
      </w:r>
      <w:r w:rsidR="001879B5">
        <w:rPr>
          <w:rFonts w:eastAsiaTheme="minorEastAsia"/>
          <w:lang w:val="en-US" w:eastAsia="en-US"/>
        </w:rPr>
        <w:t xml:space="preserve">, </w:t>
      </w:r>
      <w:r w:rsidRPr="00D06E51">
        <w:rPr>
          <w:rFonts w:eastAsiaTheme="minorEastAsia"/>
          <w:lang w:val="en-US" w:eastAsia="en-US"/>
        </w:rPr>
        <w:t xml:space="preserve">2017. </w:t>
      </w:r>
    </w:p>
    <w:p w:rsidR="00D06E51" w:rsidRPr="00D06E51" w:rsidRDefault="00D06E51" w:rsidP="00D06E51">
      <w:pPr>
        <w:spacing w:line="264" w:lineRule="auto"/>
        <w:jc w:val="both"/>
        <w:rPr>
          <w:rFonts w:eastAsiaTheme="minorEastAsia"/>
          <w:lang w:val="en-US" w:eastAsia="en-US"/>
        </w:rPr>
      </w:pPr>
    </w:p>
    <w:p w:rsidR="00D06E51" w:rsidRPr="00D06E51" w:rsidRDefault="00D06E51" w:rsidP="001879B5">
      <w:pPr>
        <w:spacing w:line="264" w:lineRule="auto"/>
        <w:jc w:val="both"/>
        <w:rPr>
          <w:rFonts w:eastAsiaTheme="minorEastAsia"/>
          <w:rtl/>
          <w:lang w:val="en-US" w:eastAsia="en-US"/>
        </w:rPr>
      </w:pPr>
      <w:r w:rsidRPr="00D06E51">
        <w:rPr>
          <w:rFonts w:eastAsiaTheme="minorEastAsia"/>
          <w:lang w:val="en-US" w:eastAsia="en-US"/>
        </w:rPr>
        <w:t xml:space="preserve">The analysis of the operating establishments distribution of in 2017 by governorates revealed that the highest percentage of operating establishments was 15.0% in Hebron </w:t>
      </w:r>
      <w:r w:rsidR="001879B5" w:rsidRPr="00D06E51">
        <w:rPr>
          <w:rFonts w:eastAsiaTheme="minorEastAsia"/>
          <w:lang w:val="en-US" w:eastAsia="en-US"/>
        </w:rPr>
        <w:t>g</w:t>
      </w:r>
      <w:r w:rsidRPr="00D06E51">
        <w:rPr>
          <w:rFonts w:eastAsiaTheme="minorEastAsia"/>
          <w:lang w:val="en-US" w:eastAsia="en-US"/>
        </w:rPr>
        <w:t xml:space="preserve">overnorate, and 12.3% in Gaza </w:t>
      </w:r>
      <w:r w:rsidR="001879B5" w:rsidRPr="00D06E51">
        <w:rPr>
          <w:rFonts w:eastAsiaTheme="minorEastAsia"/>
          <w:lang w:val="en-US" w:eastAsia="en-US"/>
        </w:rPr>
        <w:t>g</w:t>
      </w:r>
      <w:r w:rsidRPr="00D06E51">
        <w:rPr>
          <w:rFonts w:eastAsiaTheme="minorEastAsia"/>
          <w:lang w:val="en-US" w:eastAsia="en-US"/>
        </w:rPr>
        <w:t xml:space="preserve">overnorate, while the lowest percentage of operating establishments was recorded in Tubas &amp; Northern Valleys </w:t>
      </w:r>
      <w:r w:rsidR="001879B5" w:rsidRPr="00D06E51">
        <w:rPr>
          <w:rFonts w:eastAsiaTheme="minorEastAsia"/>
          <w:lang w:val="en-US" w:eastAsia="en-US"/>
        </w:rPr>
        <w:t>g</w:t>
      </w:r>
      <w:r w:rsidRPr="00D06E51">
        <w:rPr>
          <w:rFonts w:eastAsiaTheme="minorEastAsia"/>
          <w:lang w:val="en-US" w:eastAsia="en-US"/>
        </w:rPr>
        <w:t xml:space="preserve">overnorate by 1.2% and 1.0% in Jericho &amp; Al-Aghwar </w:t>
      </w:r>
      <w:r w:rsidR="001879B5" w:rsidRPr="00D06E51">
        <w:rPr>
          <w:rFonts w:eastAsiaTheme="minorEastAsia"/>
          <w:lang w:val="en-US" w:eastAsia="en-US"/>
        </w:rPr>
        <w:t>g</w:t>
      </w:r>
      <w:r w:rsidRPr="00D06E51">
        <w:rPr>
          <w:rFonts w:eastAsiaTheme="minorEastAsia"/>
          <w:lang w:val="en-US" w:eastAsia="en-US"/>
        </w:rPr>
        <w:t xml:space="preserve">overnorate.  </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numPr>
          <w:ilvl w:val="0"/>
          <w:numId w:val="32"/>
        </w:numPr>
        <w:spacing w:line="264" w:lineRule="auto"/>
        <w:ind w:left="270" w:hanging="270"/>
        <w:jc w:val="both"/>
        <w:rPr>
          <w:rFonts w:eastAsiaTheme="minorEastAsia"/>
          <w:b/>
          <w:bCs/>
          <w:lang w:val="en-US" w:eastAsia="en-US"/>
        </w:rPr>
      </w:pPr>
      <w:r w:rsidRPr="00D06E51">
        <w:rPr>
          <w:rFonts w:eastAsiaTheme="minorEastAsia"/>
          <w:b/>
          <w:bCs/>
          <w:lang w:val="en-US" w:eastAsia="en-US"/>
        </w:rPr>
        <w:lastRenderedPageBreak/>
        <w:t xml:space="preserve">Governorates attractiveness degree for Establishments </w:t>
      </w: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 xml:space="preserve">When measuring changes in the </w:t>
      </w:r>
      <w:bookmarkStart w:id="6" w:name="_Hlk38622989"/>
      <w:r w:rsidRPr="00D06E51">
        <w:rPr>
          <w:rFonts w:eastAsiaTheme="minorEastAsia"/>
          <w:lang w:val="en-US" w:eastAsia="en-US"/>
        </w:rPr>
        <w:t xml:space="preserve">attractiveness of the governorates </w:t>
      </w:r>
      <w:bookmarkEnd w:id="6"/>
      <w:r w:rsidRPr="00D06E51">
        <w:rPr>
          <w:rFonts w:eastAsiaTheme="minorEastAsia"/>
          <w:lang w:val="en-US" w:eastAsia="en-US"/>
        </w:rPr>
        <w:t xml:space="preserve">by using the establishments density indicator (number of establishments per 1000 population) from 2012 to 2017, it was found that: </w:t>
      </w:r>
    </w:p>
    <w:p w:rsidR="00D06E51" w:rsidRPr="00D06E51" w:rsidRDefault="00D06E51" w:rsidP="00D06E51">
      <w:pPr>
        <w:spacing w:line="264" w:lineRule="auto"/>
        <w:jc w:val="both"/>
        <w:rPr>
          <w:rFonts w:eastAsiaTheme="minorEastAsia"/>
          <w:lang w:val="en-US" w:eastAsia="en-US"/>
        </w:rPr>
      </w:pPr>
    </w:p>
    <w:p w:rsidR="00D06E51" w:rsidRPr="00D06E51" w:rsidRDefault="00D06E51" w:rsidP="001879B5">
      <w:pPr>
        <w:spacing w:line="264" w:lineRule="auto"/>
        <w:jc w:val="both"/>
        <w:rPr>
          <w:rFonts w:eastAsiaTheme="minorEastAsia"/>
          <w:lang w:val="en-US" w:eastAsia="en-US"/>
        </w:rPr>
      </w:pPr>
      <w:r w:rsidRPr="00D06E51">
        <w:rPr>
          <w:rFonts w:eastAsiaTheme="minorEastAsia"/>
          <w:b/>
          <w:bCs/>
          <w:lang w:val="en-US" w:eastAsia="en-US"/>
        </w:rPr>
        <w:t>First:</w:t>
      </w:r>
      <w:r w:rsidRPr="00D06E51">
        <w:rPr>
          <w:rFonts w:eastAsiaTheme="minorEastAsia"/>
          <w:lang w:val="en-US" w:eastAsia="en-US"/>
        </w:rPr>
        <w:t xml:space="preserve"> 7 governorates recorded an improvement in the number of their economic establishments per 1,000 population, and improved their rankings compared to other governorates: Ramallah &amp; Al-Bireh </w:t>
      </w:r>
      <w:r w:rsidR="001879B5" w:rsidRPr="00D06E51">
        <w:rPr>
          <w:rFonts w:eastAsiaTheme="minorEastAsia"/>
          <w:lang w:val="en-US" w:eastAsia="en-US"/>
        </w:rPr>
        <w:t>g</w:t>
      </w:r>
      <w:r w:rsidRPr="00D06E51">
        <w:rPr>
          <w:rFonts w:eastAsiaTheme="minorEastAsia"/>
          <w:lang w:val="en-US" w:eastAsia="en-US"/>
        </w:rPr>
        <w:t>overnorate's rank  rose from the 2</w:t>
      </w:r>
      <w:r w:rsidRPr="00D06E51">
        <w:rPr>
          <w:rFonts w:eastAsiaTheme="minorEastAsia"/>
          <w:vertAlign w:val="superscript"/>
          <w:lang w:val="en-US" w:eastAsia="en-US"/>
        </w:rPr>
        <w:t>nd</w:t>
      </w:r>
      <w:r w:rsidRPr="00D06E51">
        <w:rPr>
          <w:rFonts w:eastAsiaTheme="minorEastAsia"/>
          <w:lang w:val="en-US" w:eastAsia="en-US"/>
        </w:rPr>
        <w:t xml:space="preserve">  to 1</w:t>
      </w:r>
      <w:r w:rsidRPr="00D06E51">
        <w:rPr>
          <w:rFonts w:eastAsiaTheme="minorEastAsia"/>
          <w:vertAlign w:val="superscript"/>
          <w:lang w:val="en-US" w:eastAsia="en-US"/>
        </w:rPr>
        <w:t>st</w:t>
      </w:r>
      <w:r w:rsidRPr="00D06E51">
        <w:rPr>
          <w:rFonts w:eastAsiaTheme="minorEastAsia"/>
          <w:lang w:val="en-US" w:eastAsia="en-US"/>
        </w:rPr>
        <w:t xml:space="preserve"> place, Jenin </w:t>
      </w:r>
      <w:r w:rsidR="001879B5" w:rsidRPr="00D06E51">
        <w:rPr>
          <w:rFonts w:eastAsiaTheme="minorEastAsia"/>
          <w:lang w:val="en-US" w:eastAsia="en-US"/>
        </w:rPr>
        <w:t>g</w:t>
      </w:r>
      <w:r w:rsidRPr="00D06E51">
        <w:rPr>
          <w:rFonts w:eastAsiaTheme="minorEastAsia"/>
          <w:lang w:val="en-US" w:eastAsia="en-US"/>
        </w:rPr>
        <w:t>overnorate rose from the 4</w:t>
      </w:r>
      <w:r w:rsidRPr="00D06E51">
        <w:rPr>
          <w:rFonts w:eastAsiaTheme="minorEastAsia"/>
          <w:vertAlign w:val="superscript"/>
          <w:lang w:val="en-US" w:eastAsia="en-US"/>
        </w:rPr>
        <w:t>th</w:t>
      </w:r>
      <w:r w:rsidRPr="00D06E51">
        <w:rPr>
          <w:rFonts w:eastAsiaTheme="minorEastAsia"/>
          <w:lang w:val="en-US" w:eastAsia="en-US"/>
        </w:rPr>
        <w:t xml:space="preserve"> to the 2</w:t>
      </w:r>
      <w:r w:rsidRPr="00D06E51">
        <w:rPr>
          <w:rFonts w:eastAsiaTheme="minorEastAsia"/>
          <w:vertAlign w:val="superscript"/>
          <w:lang w:val="en-US" w:eastAsia="en-US"/>
        </w:rPr>
        <w:t>nd</w:t>
      </w:r>
      <w:r w:rsidRPr="00D06E51">
        <w:rPr>
          <w:rFonts w:eastAsiaTheme="minorEastAsia"/>
          <w:lang w:val="en-US" w:eastAsia="en-US"/>
        </w:rPr>
        <w:t xml:space="preserve"> place, Tulkarm </w:t>
      </w:r>
      <w:r w:rsidR="001879B5" w:rsidRPr="00D06E51">
        <w:rPr>
          <w:rFonts w:eastAsiaTheme="minorEastAsia"/>
          <w:lang w:val="en-US" w:eastAsia="en-US"/>
        </w:rPr>
        <w:t>g</w:t>
      </w:r>
      <w:r w:rsidRPr="00D06E51">
        <w:rPr>
          <w:rFonts w:eastAsiaTheme="minorEastAsia"/>
          <w:lang w:val="en-US" w:eastAsia="en-US"/>
        </w:rPr>
        <w:t>overnorate's rank rose from the 5</w:t>
      </w:r>
      <w:r w:rsidRPr="00D06E51">
        <w:rPr>
          <w:rFonts w:eastAsiaTheme="minorEastAsia"/>
          <w:vertAlign w:val="superscript"/>
          <w:lang w:val="en-US" w:eastAsia="en-US"/>
        </w:rPr>
        <w:t>th</w:t>
      </w:r>
      <w:r w:rsidRPr="00D06E51">
        <w:rPr>
          <w:rFonts w:eastAsiaTheme="minorEastAsia"/>
          <w:lang w:val="en-US" w:eastAsia="en-US"/>
        </w:rPr>
        <w:t xml:space="preserve"> to 4</w:t>
      </w:r>
      <w:r w:rsidRPr="00D06E51">
        <w:rPr>
          <w:rFonts w:eastAsiaTheme="minorEastAsia"/>
          <w:vertAlign w:val="superscript"/>
          <w:lang w:val="en-US" w:eastAsia="en-US"/>
        </w:rPr>
        <w:t>th</w:t>
      </w:r>
      <w:r w:rsidRPr="00D06E51">
        <w:rPr>
          <w:rFonts w:eastAsiaTheme="minorEastAsia"/>
          <w:lang w:val="en-US" w:eastAsia="en-US"/>
        </w:rPr>
        <w:t xml:space="preserve">, Bethlehem </w:t>
      </w:r>
      <w:r w:rsidR="001879B5" w:rsidRPr="00D06E51">
        <w:rPr>
          <w:rFonts w:eastAsiaTheme="minorEastAsia"/>
          <w:lang w:val="en-US" w:eastAsia="en-US"/>
        </w:rPr>
        <w:t>g</w:t>
      </w:r>
      <w:r w:rsidRPr="00D06E51">
        <w:rPr>
          <w:rFonts w:eastAsiaTheme="minorEastAsia"/>
          <w:lang w:val="en-US" w:eastAsia="en-US"/>
        </w:rPr>
        <w:t>overnorate rose from the 7</w:t>
      </w:r>
      <w:r w:rsidRPr="00D06E51">
        <w:rPr>
          <w:rFonts w:eastAsiaTheme="minorEastAsia"/>
          <w:vertAlign w:val="superscript"/>
          <w:lang w:val="en-US" w:eastAsia="en-US"/>
        </w:rPr>
        <w:t>th</w:t>
      </w:r>
      <w:r w:rsidRPr="00D06E51">
        <w:rPr>
          <w:rFonts w:eastAsiaTheme="minorEastAsia"/>
          <w:lang w:val="en-US" w:eastAsia="en-US"/>
        </w:rPr>
        <w:t xml:space="preserve"> to the 5</w:t>
      </w:r>
      <w:r w:rsidRPr="00D06E51">
        <w:rPr>
          <w:rFonts w:eastAsiaTheme="minorEastAsia"/>
          <w:vertAlign w:val="superscript"/>
          <w:lang w:val="en-US" w:eastAsia="en-US"/>
        </w:rPr>
        <w:t>th</w:t>
      </w:r>
      <w:r w:rsidRPr="00D06E51">
        <w:rPr>
          <w:rFonts w:eastAsiaTheme="minorEastAsia"/>
          <w:lang w:val="en-US" w:eastAsia="en-US"/>
        </w:rPr>
        <w:t xml:space="preserve">, Tubas &amp; Northern Valleys </w:t>
      </w:r>
      <w:r w:rsidR="001879B5" w:rsidRPr="00D06E51">
        <w:rPr>
          <w:rFonts w:eastAsiaTheme="minorEastAsia"/>
          <w:lang w:val="en-US" w:eastAsia="en-US"/>
        </w:rPr>
        <w:t>g</w:t>
      </w:r>
      <w:r w:rsidRPr="00D06E51">
        <w:rPr>
          <w:rFonts w:eastAsiaTheme="minorEastAsia"/>
          <w:lang w:val="en-US" w:eastAsia="en-US"/>
        </w:rPr>
        <w:t>overnorate's rank rose from the 11</w:t>
      </w:r>
      <w:r w:rsidRPr="00D06E51">
        <w:rPr>
          <w:rFonts w:eastAsiaTheme="minorEastAsia"/>
          <w:vertAlign w:val="superscript"/>
          <w:lang w:val="en-US" w:eastAsia="en-US"/>
        </w:rPr>
        <w:t>th</w:t>
      </w:r>
      <w:r w:rsidRPr="00D06E51">
        <w:rPr>
          <w:rFonts w:eastAsiaTheme="minorEastAsia"/>
          <w:lang w:val="en-US" w:eastAsia="en-US"/>
        </w:rPr>
        <w:t xml:space="preserve"> to the 9</w:t>
      </w:r>
      <w:r w:rsidRPr="00D06E51">
        <w:rPr>
          <w:rFonts w:eastAsiaTheme="minorEastAsia"/>
          <w:vertAlign w:val="superscript"/>
          <w:lang w:val="en-US" w:eastAsia="en-US"/>
        </w:rPr>
        <w:t>th</w:t>
      </w:r>
      <w:r w:rsidRPr="00D06E51">
        <w:rPr>
          <w:rFonts w:eastAsiaTheme="minorEastAsia"/>
          <w:lang w:val="en-US" w:eastAsia="en-US"/>
        </w:rPr>
        <w:t xml:space="preserve"> place, Rafah </w:t>
      </w:r>
      <w:r w:rsidR="001879B5" w:rsidRPr="00D06E51">
        <w:rPr>
          <w:rFonts w:eastAsiaTheme="minorEastAsia"/>
          <w:lang w:val="en-US" w:eastAsia="en-US"/>
        </w:rPr>
        <w:t>g</w:t>
      </w:r>
      <w:r w:rsidRPr="00D06E51">
        <w:rPr>
          <w:rFonts w:eastAsiaTheme="minorEastAsia"/>
          <w:lang w:val="en-US" w:eastAsia="en-US"/>
        </w:rPr>
        <w:t>overnorate's rank rose from the 13</w:t>
      </w:r>
      <w:r w:rsidRPr="00D06E51">
        <w:rPr>
          <w:rFonts w:eastAsiaTheme="minorEastAsia"/>
          <w:vertAlign w:val="superscript"/>
          <w:lang w:val="en-US" w:eastAsia="en-US"/>
        </w:rPr>
        <w:t>th</w:t>
      </w:r>
      <w:r w:rsidRPr="00D06E51">
        <w:rPr>
          <w:rFonts w:eastAsiaTheme="minorEastAsia"/>
          <w:lang w:val="en-US" w:eastAsia="en-US"/>
        </w:rPr>
        <w:t xml:space="preserve"> to the 12</w:t>
      </w:r>
      <w:r w:rsidRPr="00D06E51">
        <w:rPr>
          <w:rFonts w:eastAsiaTheme="minorEastAsia"/>
          <w:vertAlign w:val="superscript"/>
          <w:lang w:val="en-US" w:eastAsia="en-US"/>
        </w:rPr>
        <w:t>th</w:t>
      </w:r>
      <w:r w:rsidRPr="00D06E51">
        <w:rPr>
          <w:rFonts w:eastAsiaTheme="minorEastAsia"/>
          <w:lang w:val="en-US" w:eastAsia="en-US"/>
        </w:rPr>
        <w:t xml:space="preserve"> place</w:t>
      </w:r>
      <w:r w:rsidRPr="00D06E51">
        <w:rPr>
          <w:rFonts w:eastAsiaTheme="minorEastAsia"/>
          <w:color w:val="00B050"/>
          <w:lang w:val="en-US" w:eastAsia="en-US"/>
        </w:rPr>
        <w:t xml:space="preserve"> </w:t>
      </w:r>
      <w:r w:rsidRPr="00D06E51">
        <w:rPr>
          <w:rFonts w:eastAsiaTheme="minorEastAsia"/>
          <w:lang w:val="en-US" w:eastAsia="en-US"/>
        </w:rPr>
        <w:t xml:space="preserve">and Dier al-Balah </w:t>
      </w:r>
      <w:r w:rsidR="001879B5" w:rsidRPr="00D06E51">
        <w:rPr>
          <w:rFonts w:eastAsiaTheme="minorEastAsia"/>
          <w:lang w:val="en-US" w:eastAsia="en-US"/>
        </w:rPr>
        <w:t>g</w:t>
      </w:r>
      <w:r w:rsidRPr="00D06E51">
        <w:rPr>
          <w:rFonts w:eastAsiaTheme="minorEastAsia"/>
          <w:lang w:val="en-US" w:eastAsia="en-US"/>
        </w:rPr>
        <w:t>overnorate rose from the 15</w:t>
      </w:r>
      <w:r w:rsidRPr="00D06E51">
        <w:rPr>
          <w:rFonts w:eastAsiaTheme="minorEastAsia"/>
          <w:vertAlign w:val="superscript"/>
          <w:lang w:val="en-US" w:eastAsia="en-US"/>
        </w:rPr>
        <w:t>th</w:t>
      </w:r>
      <w:r w:rsidRPr="00D06E51">
        <w:rPr>
          <w:rFonts w:eastAsiaTheme="minorEastAsia"/>
          <w:lang w:val="en-US" w:eastAsia="en-US"/>
        </w:rPr>
        <w:t xml:space="preserve"> to the 13</w:t>
      </w:r>
      <w:r w:rsidRPr="00D06E51">
        <w:rPr>
          <w:rFonts w:eastAsiaTheme="minorEastAsia"/>
          <w:vertAlign w:val="superscript"/>
          <w:lang w:val="en-US" w:eastAsia="en-US"/>
        </w:rPr>
        <w:t>th</w:t>
      </w:r>
      <w:r w:rsidRPr="00D06E51">
        <w:rPr>
          <w:rFonts w:eastAsiaTheme="minorEastAsia"/>
          <w:lang w:val="en-US" w:eastAsia="en-US"/>
        </w:rPr>
        <w:t xml:space="preserve"> place.</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spacing w:line="264" w:lineRule="auto"/>
        <w:jc w:val="both"/>
        <w:rPr>
          <w:rFonts w:eastAsiaTheme="minorEastAsia"/>
          <w:lang w:val="en-US" w:eastAsia="en-US"/>
        </w:rPr>
      </w:pPr>
      <w:r w:rsidRPr="00D06E51">
        <w:rPr>
          <w:rFonts w:eastAsiaTheme="minorEastAsia"/>
          <w:b/>
          <w:bCs/>
          <w:lang w:val="en-US" w:eastAsia="en-US"/>
        </w:rPr>
        <w:t>Second:</w:t>
      </w:r>
      <w:r w:rsidRPr="00D06E51">
        <w:rPr>
          <w:rFonts w:eastAsiaTheme="minorEastAsia"/>
          <w:lang w:val="en-US" w:eastAsia="en-US"/>
        </w:rPr>
        <w:t xml:space="preserve"> Two governorates maintained the same previous ranks: Hebron governorate maintained its rank in the 8</w:t>
      </w:r>
      <w:r w:rsidRPr="00D06E51">
        <w:rPr>
          <w:rFonts w:eastAsiaTheme="minorEastAsia"/>
          <w:vertAlign w:val="superscript"/>
          <w:lang w:val="en-US" w:eastAsia="en-US"/>
        </w:rPr>
        <w:t>th</w:t>
      </w:r>
      <w:r w:rsidRPr="00D06E51">
        <w:rPr>
          <w:rFonts w:eastAsiaTheme="minorEastAsia"/>
          <w:lang w:val="en-US" w:eastAsia="en-US"/>
        </w:rPr>
        <w:t xml:space="preserve"> place, and North Gaza governorate rank remained in 16</w:t>
      </w:r>
      <w:r w:rsidRPr="00D06E51">
        <w:rPr>
          <w:rFonts w:eastAsiaTheme="minorEastAsia"/>
          <w:vertAlign w:val="superscript"/>
          <w:lang w:val="en-US" w:eastAsia="en-US"/>
        </w:rPr>
        <w:t>th</w:t>
      </w:r>
      <w:r w:rsidRPr="00D06E51">
        <w:rPr>
          <w:rFonts w:eastAsiaTheme="minorEastAsia"/>
          <w:lang w:val="en-US" w:eastAsia="en-US"/>
        </w:rPr>
        <w:t xml:space="preserve"> place during that period.</w:t>
      </w:r>
    </w:p>
    <w:p w:rsidR="00D06E51" w:rsidRPr="00D06E51" w:rsidRDefault="00D06E51" w:rsidP="00D06E51">
      <w:pPr>
        <w:spacing w:line="264" w:lineRule="auto"/>
        <w:jc w:val="both"/>
        <w:rPr>
          <w:rFonts w:eastAsiaTheme="minorEastAsia"/>
          <w:lang w:val="en-US" w:eastAsia="en-US"/>
        </w:rPr>
      </w:pPr>
    </w:p>
    <w:p w:rsidR="00D06E51" w:rsidRPr="00D06E51" w:rsidRDefault="00D06E51" w:rsidP="004F25EC">
      <w:pPr>
        <w:spacing w:line="264" w:lineRule="auto"/>
        <w:jc w:val="both"/>
        <w:rPr>
          <w:rFonts w:eastAsiaTheme="minorEastAsia"/>
          <w:lang w:val="en-US" w:eastAsia="en-US"/>
        </w:rPr>
      </w:pPr>
      <w:r w:rsidRPr="00D06E51">
        <w:rPr>
          <w:rFonts w:eastAsiaTheme="minorEastAsia"/>
          <w:b/>
          <w:bCs/>
          <w:lang w:val="en-US" w:eastAsia="en-US"/>
        </w:rPr>
        <w:t>Third:</w:t>
      </w:r>
      <w:r w:rsidRPr="00D06E51">
        <w:rPr>
          <w:rFonts w:eastAsiaTheme="minorEastAsia"/>
          <w:lang w:val="en-US" w:eastAsia="en-US"/>
        </w:rPr>
        <w:t xml:space="preserve"> 7 governorates witnessed a decline in their rankings during the same period: Nablus </w:t>
      </w:r>
      <w:r w:rsidR="004F25EC" w:rsidRPr="00D06E51">
        <w:rPr>
          <w:rFonts w:eastAsiaTheme="minorEastAsia"/>
          <w:lang w:val="en-US" w:eastAsia="en-US"/>
        </w:rPr>
        <w:t>g</w:t>
      </w:r>
      <w:r w:rsidRPr="00D06E51">
        <w:rPr>
          <w:rFonts w:eastAsiaTheme="minorEastAsia"/>
          <w:lang w:val="en-US" w:eastAsia="en-US"/>
        </w:rPr>
        <w:t>overnorate's rank fell from the 1</w:t>
      </w:r>
      <w:r w:rsidRPr="00D06E51">
        <w:rPr>
          <w:rFonts w:eastAsiaTheme="minorEastAsia"/>
          <w:vertAlign w:val="superscript"/>
          <w:lang w:val="en-US" w:eastAsia="en-US"/>
        </w:rPr>
        <w:t>st</w:t>
      </w:r>
      <w:r w:rsidRPr="00D06E51">
        <w:rPr>
          <w:rFonts w:eastAsiaTheme="minorEastAsia"/>
          <w:lang w:val="en-US" w:eastAsia="en-US"/>
        </w:rPr>
        <w:t xml:space="preserve"> to the 3</w:t>
      </w:r>
      <w:r w:rsidRPr="00D06E51">
        <w:rPr>
          <w:rFonts w:eastAsiaTheme="minorEastAsia"/>
          <w:vertAlign w:val="superscript"/>
          <w:lang w:val="en-US" w:eastAsia="en-US"/>
        </w:rPr>
        <w:t>rd</w:t>
      </w:r>
      <w:r w:rsidRPr="00D06E51">
        <w:rPr>
          <w:rFonts w:eastAsiaTheme="minorEastAsia"/>
          <w:lang w:val="en-US" w:eastAsia="en-US"/>
        </w:rPr>
        <w:t>, Qalqilya fell from the 3</w:t>
      </w:r>
      <w:r w:rsidRPr="00D06E51">
        <w:rPr>
          <w:rFonts w:eastAsiaTheme="minorEastAsia"/>
          <w:vertAlign w:val="superscript"/>
          <w:lang w:val="en-US" w:eastAsia="en-US"/>
        </w:rPr>
        <w:t>rd</w:t>
      </w:r>
      <w:r w:rsidRPr="00D06E51">
        <w:rPr>
          <w:rFonts w:eastAsiaTheme="minorEastAsia"/>
          <w:lang w:val="en-US" w:eastAsia="en-US"/>
        </w:rPr>
        <w:t xml:space="preserve"> to 6</w:t>
      </w:r>
      <w:r w:rsidRPr="00D06E51">
        <w:rPr>
          <w:rFonts w:eastAsiaTheme="minorEastAsia"/>
          <w:vertAlign w:val="superscript"/>
          <w:lang w:val="en-US" w:eastAsia="en-US"/>
        </w:rPr>
        <w:t>th</w:t>
      </w:r>
      <w:r w:rsidRPr="00D06E51">
        <w:rPr>
          <w:rFonts w:eastAsiaTheme="minorEastAsia"/>
          <w:lang w:val="en-US" w:eastAsia="en-US"/>
        </w:rPr>
        <w:t xml:space="preserve">, Salfit </w:t>
      </w:r>
      <w:r w:rsidR="004F25EC" w:rsidRPr="00D06E51">
        <w:rPr>
          <w:rFonts w:eastAsiaTheme="minorEastAsia"/>
          <w:lang w:val="en-US" w:eastAsia="en-US"/>
        </w:rPr>
        <w:t>g</w:t>
      </w:r>
      <w:r w:rsidRPr="00D06E51">
        <w:rPr>
          <w:rFonts w:eastAsiaTheme="minorEastAsia"/>
          <w:lang w:val="en-US" w:eastAsia="en-US"/>
        </w:rPr>
        <w:t>overnorate fell from the 6</w:t>
      </w:r>
      <w:r w:rsidRPr="00D06E51">
        <w:rPr>
          <w:rFonts w:eastAsiaTheme="minorEastAsia"/>
          <w:vertAlign w:val="superscript"/>
          <w:lang w:val="en-US" w:eastAsia="en-US"/>
        </w:rPr>
        <w:t>th</w:t>
      </w:r>
      <w:r w:rsidRPr="00D06E51">
        <w:rPr>
          <w:rFonts w:eastAsiaTheme="minorEastAsia"/>
          <w:lang w:val="en-US" w:eastAsia="en-US"/>
        </w:rPr>
        <w:t xml:space="preserve"> to the 7</w:t>
      </w:r>
      <w:r w:rsidRPr="00D06E51">
        <w:rPr>
          <w:rFonts w:eastAsiaTheme="minorEastAsia"/>
          <w:vertAlign w:val="superscript"/>
          <w:lang w:val="en-US" w:eastAsia="en-US"/>
        </w:rPr>
        <w:t>th</w:t>
      </w:r>
      <w:r w:rsidRPr="00D06E51">
        <w:rPr>
          <w:rFonts w:eastAsiaTheme="minorEastAsia"/>
          <w:lang w:val="en-US" w:eastAsia="en-US"/>
        </w:rPr>
        <w:t xml:space="preserve">, Gaza </w:t>
      </w:r>
      <w:r w:rsidR="004F25EC" w:rsidRPr="00D06E51">
        <w:rPr>
          <w:rFonts w:eastAsiaTheme="minorEastAsia"/>
          <w:lang w:val="en-US" w:eastAsia="en-US"/>
        </w:rPr>
        <w:t>g</w:t>
      </w:r>
      <w:r w:rsidRPr="00D06E51">
        <w:rPr>
          <w:rFonts w:eastAsiaTheme="minorEastAsia"/>
          <w:lang w:val="en-US" w:eastAsia="en-US"/>
        </w:rPr>
        <w:t>overnorate fell from the 9</w:t>
      </w:r>
      <w:r w:rsidRPr="00D06E51">
        <w:rPr>
          <w:rFonts w:eastAsiaTheme="minorEastAsia"/>
          <w:vertAlign w:val="superscript"/>
          <w:lang w:val="en-US" w:eastAsia="en-US"/>
        </w:rPr>
        <w:t>th</w:t>
      </w:r>
      <w:r w:rsidRPr="00D06E51">
        <w:rPr>
          <w:rFonts w:eastAsiaTheme="minorEastAsia"/>
          <w:lang w:val="en-US" w:eastAsia="en-US"/>
        </w:rPr>
        <w:t xml:space="preserve"> to the 10</w:t>
      </w:r>
      <w:r w:rsidRPr="00D06E51">
        <w:rPr>
          <w:rFonts w:eastAsiaTheme="minorEastAsia"/>
          <w:vertAlign w:val="superscript"/>
          <w:lang w:val="en-US" w:eastAsia="en-US"/>
        </w:rPr>
        <w:t>th</w:t>
      </w:r>
      <w:r w:rsidRPr="00D06E51">
        <w:rPr>
          <w:rFonts w:eastAsiaTheme="minorEastAsia"/>
          <w:lang w:val="en-US" w:eastAsia="en-US"/>
        </w:rPr>
        <w:t xml:space="preserve"> place, Jericho &amp; Al-Aghwar </w:t>
      </w:r>
      <w:r w:rsidR="004F25EC" w:rsidRPr="00D06E51">
        <w:rPr>
          <w:rFonts w:eastAsiaTheme="minorEastAsia"/>
          <w:lang w:val="en-US" w:eastAsia="en-US"/>
        </w:rPr>
        <w:t>g</w:t>
      </w:r>
      <w:r w:rsidRPr="00D06E51">
        <w:rPr>
          <w:rFonts w:eastAsiaTheme="minorEastAsia"/>
          <w:lang w:val="en-US" w:eastAsia="en-US"/>
        </w:rPr>
        <w:t>overnorate's rank dropped from the 10</w:t>
      </w:r>
      <w:r w:rsidRPr="00D06E51">
        <w:rPr>
          <w:rFonts w:eastAsiaTheme="minorEastAsia"/>
          <w:vertAlign w:val="superscript"/>
          <w:lang w:val="en-US" w:eastAsia="en-US"/>
        </w:rPr>
        <w:t>th</w:t>
      </w:r>
      <w:r w:rsidRPr="00D06E51">
        <w:rPr>
          <w:rFonts w:eastAsiaTheme="minorEastAsia"/>
          <w:lang w:val="en-US" w:eastAsia="en-US"/>
        </w:rPr>
        <w:t xml:space="preserve"> to 11</w:t>
      </w:r>
      <w:r w:rsidRPr="00D06E51">
        <w:rPr>
          <w:rFonts w:eastAsiaTheme="minorEastAsia"/>
          <w:vertAlign w:val="superscript"/>
          <w:lang w:val="en-US" w:eastAsia="en-US"/>
        </w:rPr>
        <w:t>th</w:t>
      </w:r>
      <w:r w:rsidRPr="00D06E51">
        <w:rPr>
          <w:rFonts w:eastAsiaTheme="minorEastAsia"/>
          <w:lang w:val="en-US" w:eastAsia="en-US"/>
        </w:rPr>
        <w:t xml:space="preserve"> place, Khan Yunis </w:t>
      </w:r>
      <w:r w:rsidR="004F25EC" w:rsidRPr="00D06E51">
        <w:rPr>
          <w:rFonts w:eastAsiaTheme="minorEastAsia"/>
          <w:lang w:val="en-US" w:eastAsia="en-US"/>
        </w:rPr>
        <w:t>g</w:t>
      </w:r>
      <w:r w:rsidRPr="00D06E51">
        <w:rPr>
          <w:rFonts w:eastAsiaTheme="minorEastAsia"/>
          <w:lang w:val="en-US" w:eastAsia="en-US"/>
        </w:rPr>
        <w:t>overnorate dropped from the 12</w:t>
      </w:r>
      <w:r w:rsidRPr="00D06E51">
        <w:rPr>
          <w:rFonts w:eastAsiaTheme="minorEastAsia"/>
          <w:vertAlign w:val="superscript"/>
          <w:lang w:val="en-US" w:eastAsia="en-US"/>
        </w:rPr>
        <w:t>th</w:t>
      </w:r>
      <w:r w:rsidRPr="00D06E51">
        <w:rPr>
          <w:rFonts w:eastAsiaTheme="minorEastAsia"/>
          <w:lang w:val="en-US" w:eastAsia="en-US"/>
        </w:rPr>
        <w:t xml:space="preserve"> to the 14</w:t>
      </w:r>
      <w:r w:rsidRPr="00D06E51">
        <w:rPr>
          <w:rFonts w:eastAsiaTheme="minorEastAsia"/>
          <w:vertAlign w:val="superscript"/>
          <w:lang w:val="en-US" w:eastAsia="en-US"/>
        </w:rPr>
        <w:t>th</w:t>
      </w:r>
      <w:r w:rsidRPr="00D06E51">
        <w:rPr>
          <w:rFonts w:eastAsiaTheme="minorEastAsia"/>
          <w:lang w:val="en-US" w:eastAsia="en-US"/>
        </w:rPr>
        <w:t xml:space="preserve"> place and Jerusalem dropped from the 14</w:t>
      </w:r>
      <w:r w:rsidRPr="00D06E51">
        <w:rPr>
          <w:rFonts w:eastAsiaTheme="minorEastAsia"/>
          <w:vertAlign w:val="superscript"/>
          <w:lang w:val="en-US" w:eastAsia="en-US"/>
        </w:rPr>
        <w:t>th</w:t>
      </w:r>
      <w:r w:rsidRPr="00D06E51">
        <w:rPr>
          <w:rFonts w:eastAsiaTheme="minorEastAsia"/>
          <w:lang w:val="en-US" w:eastAsia="en-US"/>
        </w:rPr>
        <w:t xml:space="preserve"> to the 15</w:t>
      </w:r>
      <w:r w:rsidRPr="00D06E51">
        <w:rPr>
          <w:rFonts w:eastAsiaTheme="minorEastAsia"/>
          <w:vertAlign w:val="superscript"/>
          <w:lang w:val="en-US" w:eastAsia="en-US"/>
        </w:rPr>
        <w:t>th</w:t>
      </w:r>
      <w:r w:rsidRPr="00D06E51">
        <w:rPr>
          <w:rFonts w:eastAsiaTheme="minorEastAsia"/>
          <w:lang w:val="en-US" w:eastAsia="en-US"/>
        </w:rPr>
        <w:t xml:space="preserve"> place.</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numPr>
          <w:ilvl w:val="0"/>
          <w:numId w:val="32"/>
        </w:numPr>
        <w:spacing w:line="264" w:lineRule="auto"/>
        <w:ind w:left="270" w:hanging="270"/>
        <w:jc w:val="both"/>
        <w:rPr>
          <w:rFonts w:eastAsiaTheme="minorEastAsia"/>
          <w:b/>
          <w:bCs/>
          <w:lang w:val="en-US" w:eastAsia="en-US"/>
        </w:rPr>
      </w:pPr>
      <w:r w:rsidRPr="00D06E51">
        <w:rPr>
          <w:rFonts w:eastAsiaTheme="minorEastAsia"/>
          <w:b/>
          <w:bCs/>
          <w:lang w:val="en-US" w:eastAsia="en-US"/>
        </w:rPr>
        <w:t>The concentration level of establishments in economic activities</w:t>
      </w: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 xml:space="preserve">The census data 2017 showed that 91.5%  of operating establishments distributed by economic activities are concentrated in seven economic activities, that are: Wholesale and retail trade; repair of motor vehicles and motorcycles (51.3%); manufacturing (12.5%), other services activities (10.8%), accommodation and food services activities (5.2%), human health and social work activities (4.3%), education activities (4.3%), </w:t>
      </w:r>
      <w:bookmarkStart w:id="7" w:name="_Hlk38626699"/>
      <w:r w:rsidRPr="00D06E51">
        <w:rPr>
          <w:rFonts w:eastAsiaTheme="minorEastAsia"/>
          <w:lang w:val="en-US" w:eastAsia="en-US"/>
        </w:rPr>
        <w:t xml:space="preserve">professional, scientific and technical activities </w:t>
      </w:r>
      <w:bookmarkStart w:id="8" w:name="_Hlk38625541"/>
      <w:bookmarkEnd w:id="7"/>
      <w:r w:rsidRPr="00D06E51">
        <w:rPr>
          <w:rFonts w:eastAsiaTheme="minorEastAsia"/>
          <w:lang w:val="en-US" w:eastAsia="en-US"/>
        </w:rPr>
        <w:t>(3.1</w:t>
      </w:r>
      <w:bookmarkEnd w:id="8"/>
      <w:r w:rsidRPr="00D06E51">
        <w:rPr>
          <w:rFonts w:eastAsiaTheme="minorEastAsia"/>
          <w:lang w:val="en-US" w:eastAsia="en-US"/>
        </w:rPr>
        <w:t>%). The remaining operating establishments (8.5%) work in other activities.</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spacing w:line="264" w:lineRule="auto"/>
        <w:jc w:val="both"/>
        <w:rPr>
          <w:rFonts w:eastAsiaTheme="minorEastAsia"/>
          <w:b/>
          <w:bCs/>
          <w:lang w:val="en-US" w:eastAsia="en-US"/>
        </w:rPr>
      </w:pPr>
      <w:r w:rsidRPr="00D06E51">
        <w:rPr>
          <w:rFonts w:eastAsiaTheme="minorEastAsia"/>
          <w:b/>
          <w:bCs/>
          <w:lang w:val="en-US" w:eastAsia="en-US"/>
        </w:rPr>
        <w:t xml:space="preserve">5.1 Establishments by </w:t>
      </w:r>
      <w:bookmarkStart w:id="9" w:name="_Hlk38626082"/>
      <w:r w:rsidRPr="00D06E51">
        <w:rPr>
          <w:rFonts w:eastAsiaTheme="minorEastAsia"/>
          <w:b/>
          <w:bCs/>
          <w:lang w:val="en-US" w:eastAsia="en-US"/>
        </w:rPr>
        <w:t>employment size group</w:t>
      </w:r>
      <w:bookmarkEnd w:id="9"/>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As for the distribution of establishments by employment size group, 88.6% of operating establishments in 2017 were found to be very small; employing less than 5 employees. Around 10.0% of operating establishments are small-sized (5-19 employees), 1.3% are medium-sized (with 20-99 employees), while large-sized establishments (employing 100 or more persons) represent 0.1% of total operating establishments. In addition to these results, other findings can be summarized as follows:</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numPr>
          <w:ilvl w:val="0"/>
          <w:numId w:val="36"/>
        </w:numPr>
        <w:spacing w:line="264" w:lineRule="auto"/>
        <w:jc w:val="both"/>
        <w:rPr>
          <w:rFonts w:eastAsiaTheme="minorEastAsia"/>
          <w:lang w:val="en-US" w:eastAsia="en-US"/>
        </w:rPr>
      </w:pPr>
      <w:r w:rsidRPr="00D06E51">
        <w:rPr>
          <w:rFonts w:eastAsiaTheme="minorEastAsia"/>
          <w:lang w:val="en-US" w:eastAsia="en-US"/>
        </w:rPr>
        <w:t>Excessive wholesale and retail trade activities reflect the fragility of the productive sectors and heavy reliance on imports;</w:t>
      </w:r>
    </w:p>
    <w:p w:rsidR="00D06E51" w:rsidRPr="00D06E51" w:rsidRDefault="00D06E51" w:rsidP="00D06E51">
      <w:pPr>
        <w:numPr>
          <w:ilvl w:val="0"/>
          <w:numId w:val="36"/>
        </w:numPr>
        <w:spacing w:line="264" w:lineRule="auto"/>
        <w:jc w:val="both"/>
        <w:rPr>
          <w:rFonts w:eastAsiaTheme="minorEastAsia"/>
          <w:lang w:val="en-US" w:eastAsia="en-US"/>
        </w:rPr>
      </w:pPr>
      <w:r w:rsidRPr="00D06E51">
        <w:rPr>
          <w:rFonts w:eastAsiaTheme="minorEastAsia"/>
          <w:lang w:val="en-US" w:eastAsia="en-US"/>
        </w:rPr>
        <w:t>Dominance of microenterprises (employing less than 5 employees), which is found in most developing countries.</w:t>
      </w:r>
    </w:p>
    <w:p w:rsidR="00D06E51" w:rsidRPr="00D06E51" w:rsidRDefault="00D06E51" w:rsidP="00D06E51">
      <w:pPr>
        <w:numPr>
          <w:ilvl w:val="0"/>
          <w:numId w:val="36"/>
        </w:numPr>
        <w:spacing w:line="264" w:lineRule="auto"/>
        <w:jc w:val="both"/>
        <w:rPr>
          <w:rFonts w:eastAsiaTheme="minorEastAsia"/>
          <w:lang w:val="en-US" w:eastAsia="en-US"/>
        </w:rPr>
      </w:pPr>
      <w:r w:rsidRPr="00D06E51">
        <w:rPr>
          <w:rFonts w:eastAsiaTheme="minorEastAsia"/>
          <w:lang w:val="en-US" w:eastAsia="en-US"/>
        </w:rPr>
        <w:t>Weakeness in stagnant growth of the numbers of establishments in the manufacturing activities in most governorates.</w:t>
      </w:r>
    </w:p>
    <w:p w:rsidR="00D06E51" w:rsidRPr="00D06E51" w:rsidRDefault="00D06E51" w:rsidP="00D06E51">
      <w:pPr>
        <w:numPr>
          <w:ilvl w:val="0"/>
          <w:numId w:val="36"/>
        </w:numPr>
        <w:spacing w:line="264" w:lineRule="auto"/>
        <w:jc w:val="both"/>
        <w:rPr>
          <w:rFonts w:eastAsiaTheme="minorEastAsia"/>
          <w:lang w:val="en-US" w:eastAsia="en-US"/>
        </w:rPr>
      </w:pPr>
      <w:r w:rsidRPr="00D06E51">
        <w:rPr>
          <w:rFonts w:eastAsiaTheme="minorEastAsia"/>
          <w:lang w:val="en-US" w:eastAsia="en-US"/>
        </w:rPr>
        <w:lastRenderedPageBreak/>
        <w:t>A decline in social economy activities - cooperatives and NGOs.</w:t>
      </w:r>
    </w:p>
    <w:p w:rsidR="00D06E51" w:rsidRPr="00D06E51" w:rsidRDefault="00D06E51" w:rsidP="00D06E51">
      <w:pPr>
        <w:numPr>
          <w:ilvl w:val="0"/>
          <w:numId w:val="36"/>
        </w:numPr>
        <w:spacing w:line="264" w:lineRule="auto"/>
        <w:jc w:val="both"/>
        <w:rPr>
          <w:rFonts w:eastAsiaTheme="minorEastAsia"/>
          <w:lang w:val="en-US" w:eastAsia="en-US"/>
        </w:rPr>
      </w:pPr>
      <w:r w:rsidRPr="00D06E51">
        <w:rPr>
          <w:rFonts w:eastAsiaTheme="minorEastAsia"/>
          <w:lang w:val="en-US" w:eastAsia="en-US"/>
        </w:rPr>
        <w:t>Strong growth in arts, leisure and entertainment activities.</w:t>
      </w:r>
    </w:p>
    <w:p w:rsidR="00D06E51" w:rsidRPr="00D06E51" w:rsidRDefault="00D06E51" w:rsidP="00D06E51">
      <w:pPr>
        <w:spacing w:line="264" w:lineRule="auto"/>
        <w:jc w:val="both"/>
        <w:rPr>
          <w:rFonts w:eastAsiaTheme="minorEastAsia"/>
          <w:b/>
          <w:bCs/>
          <w:lang w:val="en-US" w:eastAsia="en-US"/>
        </w:rPr>
      </w:pPr>
      <w:r w:rsidRPr="00D06E51">
        <w:rPr>
          <w:rFonts w:eastAsiaTheme="minorEastAsia"/>
          <w:lang w:val="en-US" w:eastAsia="en-US"/>
        </w:rPr>
        <w:br/>
      </w:r>
      <w:r w:rsidRPr="00D06E51">
        <w:rPr>
          <w:rFonts w:eastAsiaTheme="minorEastAsia"/>
          <w:b/>
          <w:bCs/>
          <w:lang w:val="en-US" w:eastAsia="en-US"/>
        </w:rPr>
        <w:t>5.2 Distribution of Establishments by Legal Entity</w:t>
      </w:r>
    </w:p>
    <w:p w:rsidR="00D06E51" w:rsidRPr="00D06E51" w:rsidRDefault="00D06E51" w:rsidP="00AD0E8C">
      <w:pPr>
        <w:spacing w:line="264" w:lineRule="auto"/>
        <w:jc w:val="both"/>
        <w:rPr>
          <w:rFonts w:eastAsiaTheme="minorEastAsia"/>
          <w:lang w:val="en-US" w:eastAsia="en-US"/>
        </w:rPr>
      </w:pPr>
      <w:r w:rsidRPr="00D06E51">
        <w:rPr>
          <w:rFonts w:eastAsiaTheme="minorEastAsia"/>
          <w:lang w:val="en-US" w:eastAsia="en-US"/>
        </w:rPr>
        <w:t xml:space="preserve">The sole proprietorship operating establishments 125,501 constitute (88.2%) of the total establishments. The remaining operating establishments are defacto companies (2.4%), general </w:t>
      </w:r>
      <w:bookmarkStart w:id="10" w:name="_Hlk38635219"/>
      <w:r w:rsidRPr="00D06E51">
        <w:rPr>
          <w:rFonts w:eastAsiaTheme="minorEastAsia"/>
          <w:lang w:val="en-US" w:eastAsia="en-US"/>
        </w:rPr>
        <w:t xml:space="preserve">partnership </w:t>
      </w:r>
      <w:bookmarkStart w:id="11" w:name="_Hlk38635341"/>
      <w:bookmarkEnd w:id="10"/>
      <w:r w:rsidRPr="00D06E51">
        <w:rPr>
          <w:rFonts w:eastAsiaTheme="minorEastAsia"/>
          <w:lang w:val="en-US" w:eastAsia="en-US"/>
        </w:rPr>
        <w:t xml:space="preserve">companies </w:t>
      </w:r>
      <w:bookmarkEnd w:id="11"/>
      <w:r w:rsidRPr="00D06E51">
        <w:rPr>
          <w:rFonts w:eastAsiaTheme="minorEastAsia"/>
          <w:lang w:val="en-US" w:eastAsia="en-US"/>
        </w:rPr>
        <w:t>(2.6%), limited partnership companies (0.2%), shareholding companies (3.6%), public shareholding companies (0.5%), cooperatives (0.2%), association and charitable organizations/NGOs (2.4%), and branches of foreign companies (0.1%). Below, we summarized the changes in the number of operating establishments by legal status/entity and share between the period of 2012</w:t>
      </w:r>
      <w:r w:rsidR="00AD0E8C">
        <w:rPr>
          <w:rFonts w:eastAsiaTheme="minorEastAsia"/>
          <w:lang w:val="en-US" w:eastAsia="en-US"/>
        </w:rPr>
        <w:t xml:space="preserve">, </w:t>
      </w:r>
      <w:r w:rsidRPr="00D06E51">
        <w:rPr>
          <w:rFonts w:eastAsiaTheme="minorEastAsia"/>
          <w:lang w:val="en-US" w:eastAsia="en-US"/>
        </w:rPr>
        <w:t>2017 as follows:</w:t>
      </w:r>
    </w:p>
    <w:p w:rsidR="00D06E51" w:rsidRPr="00D06E51" w:rsidRDefault="00D06E51" w:rsidP="00D06E51">
      <w:pPr>
        <w:numPr>
          <w:ilvl w:val="0"/>
          <w:numId w:val="31"/>
        </w:numPr>
        <w:spacing w:line="264" w:lineRule="auto"/>
        <w:contextualSpacing/>
        <w:jc w:val="both"/>
        <w:rPr>
          <w:rFonts w:eastAsiaTheme="minorEastAsia"/>
          <w:lang w:val="en-US" w:eastAsia="en-US" w:bidi="ar-JO"/>
        </w:rPr>
      </w:pPr>
      <w:r w:rsidRPr="00D06E51">
        <w:rPr>
          <w:rFonts w:eastAsiaTheme="minorEastAsia"/>
          <w:lang w:val="en-US" w:eastAsia="en-US"/>
        </w:rPr>
        <w:t>Incomplete efforts towards the unification and modernization of laws, and incomplete approval of regulations for registering certain types of establishments.</w:t>
      </w:r>
    </w:p>
    <w:p w:rsidR="00D06E51" w:rsidRDefault="00D06E51" w:rsidP="00D06E51">
      <w:pPr>
        <w:numPr>
          <w:ilvl w:val="0"/>
          <w:numId w:val="31"/>
        </w:numPr>
        <w:spacing w:line="264" w:lineRule="auto"/>
        <w:contextualSpacing/>
        <w:jc w:val="both"/>
        <w:rPr>
          <w:rFonts w:eastAsiaTheme="minorEastAsia"/>
          <w:lang w:val="en-US" w:eastAsia="en-US" w:bidi="ar-JO"/>
        </w:rPr>
      </w:pPr>
      <w:r w:rsidRPr="00D06E51">
        <w:rPr>
          <w:rFonts w:eastAsiaTheme="minorEastAsia"/>
          <w:lang w:val="en-US" w:eastAsia="en-US"/>
        </w:rPr>
        <w:t>High concentration of individual establishments at the national, regional and governorate levels.</w:t>
      </w:r>
    </w:p>
    <w:p w:rsidR="00D06E51" w:rsidRPr="00D06E51" w:rsidRDefault="00D06E51" w:rsidP="00D06E51">
      <w:pPr>
        <w:spacing w:line="264" w:lineRule="auto"/>
        <w:ind w:left="720"/>
        <w:contextualSpacing/>
        <w:jc w:val="both"/>
        <w:rPr>
          <w:rFonts w:eastAsiaTheme="minorEastAsia"/>
          <w:lang w:val="en-US" w:eastAsia="en-US" w:bidi="ar-JO"/>
        </w:rPr>
      </w:pPr>
    </w:p>
    <w:p w:rsidR="00D06E51" w:rsidRPr="00D06E51" w:rsidRDefault="00D06E51" w:rsidP="00D06E51">
      <w:pPr>
        <w:spacing w:line="264" w:lineRule="auto"/>
        <w:jc w:val="both"/>
        <w:rPr>
          <w:rFonts w:eastAsiaTheme="minorEastAsia"/>
          <w:b/>
          <w:bCs/>
          <w:lang w:val="en-US" w:eastAsia="en-US"/>
        </w:rPr>
      </w:pPr>
      <w:r w:rsidRPr="00D06E51">
        <w:rPr>
          <w:rFonts w:eastAsiaTheme="minorEastAsia"/>
          <w:b/>
          <w:bCs/>
          <w:lang w:val="en-US" w:eastAsia="en-US"/>
        </w:rPr>
        <w:t>5.3 Changes in the Distribution of Operating Establishments by Ownership Sector</w:t>
      </w: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 xml:space="preserve">The results of the census 2017 on the distribution of operating establishments by sectoral ownership (private, public and non- governmental organizations) at the national, regional and governorate levels have shown some changes:  </w:t>
      </w:r>
    </w:p>
    <w:p w:rsidR="00D06E51" w:rsidRPr="00D06E51" w:rsidRDefault="00D06E51" w:rsidP="00D06E51">
      <w:pPr>
        <w:spacing w:line="264" w:lineRule="auto"/>
        <w:jc w:val="both"/>
        <w:rPr>
          <w:rFonts w:eastAsiaTheme="minorEastAsia"/>
          <w:b/>
          <w:bCs/>
          <w:lang w:val="en-US" w:eastAsia="en-US"/>
        </w:rPr>
      </w:pPr>
    </w:p>
    <w:p w:rsidR="00D06E51" w:rsidRPr="00D06E51" w:rsidRDefault="00D06E51" w:rsidP="00AD0E8C">
      <w:pPr>
        <w:spacing w:line="264" w:lineRule="auto"/>
        <w:jc w:val="both"/>
        <w:rPr>
          <w:rFonts w:eastAsiaTheme="minorEastAsia"/>
          <w:lang w:val="en-US" w:eastAsia="en-US"/>
        </w:rPr>
      </w:pPr>
      <w:r w:rsidRPr="00D06E51">
        <w:rPr>
          <w:rFonts w:eastAsiaTheme="minorEastAsia"/>
          <w:b/>
          <w:bCs/>
          <w:lang w:val="en-US" w:eastAsia="en-US"/>
        </w:rPr>
        <w:t>The Private Sector</w:t>
      </w:r>
      <w:r w:rsidRPr="00D06E51">
        <w:rPr>
          <w:rFonts w:eastAsiaTheme="minorEastAsia"/>
          <w:lang w:val="en-US" w:eastAsia="en-US"/>
        </w:rPr>
        <w:t>: In 2017, the Palestinian operating establishments in the private sector  totaled 140,745 (91.5% of total establishments), of which 99.8% are owned by the private national sector and 0.2% by the private foreign sector. In comparison with census data 2012, the number of privately owned establishments</w:t>
      </w:r>
      <w:r w:rsidRPr="00D06E51" w:rsidDel="00221CD7">
        <w:rPr>
          <w:rFonts w:eastAsiaTheme="minorEastAsia"/>
          <w:lang w:val="en-US" w:eastAsia="en-US"/>
        </w:rPr>
        <w:t xml:space="preserve"> </w:t>
      </w:r>
      <w:r w:rsidRPr="00D06E51">
        <w:rPr>
          <w:rFonts w:eastAsiaTheme="minorEastAsia"/>
          <w:lang w:val="en-US" w:eastAsia="en-US"/>
        </w:rPr>
        <w:t>increased by 6.9% during 2012</w:t>
      </w:r>
      <w:r w:rsidR="00AD0E8C">
        <w:rPr>
          <w:rFonts w:eastAsiaTheme="minorEastAsia"/>
          <w:lang w:val="en-US" w:eastAsia="en-US"/>
        </w:rPr>
        <w:t xml:space="preserve">, </w:t>
      </w:r>
      <w:r w:rsidRPr="00D06E51">
        <w:rPr>
          <w:rFonts w:eastAsiaTheme="minorEastAsia"/>
          <w:lang w:val="en-US" w:eastAsia="en-US"/>
        </w:rPr>
        <w:t>2017, due to the increase in the number of the local private establishments</w:t>
      </w:r>
      <w:r w:rsidRPr="00D06E51" w:rsidDel="00221CD7">
        <w:rPr>
          <w:rFonts w:eastAsiaTheme="minorEastAsia"/>
          <w:lang w:val="en-US" w:eastAsia="en-US"/>
        </w:rPr>
        <w:t xml:space="preserve"> </w:t>
      </w:r>
      <w:r w:rsidRPr="00D06E51">
        <w:rPr>
          <w:rFonts w:eastAsiaTheme="minorEastAsia"/>
          <w:lang w:val="en-US" w:eastAsia="en-US"/>
        </w:rPr>
        <w:t>by 7.0%, whereas the number of foreign private establishments</w:t>
      </w:r>
      <w:r w:rsidRPr="00D06E51" w:rsidDel="00221CD7">
        <w:rPr>
          <w:rFonts w:eastAsiaTheme="minorEastAsia"/>
          <w:lang w:val="en-US" w:eastAsia="en-US"/>
        </w:rPr>
        <w:t xml:space="preserve"> </w:t>
      </w:r>
      <w:r w:rsidRPr="00D06E51">
        <w:rPr>
          <w:rFonts w:eastAsiaTheme="minorEastAsia"/>
          <w:lang w:val="en-US" w:eastAsia="en-US"/>
        </w:rPr>
        <w:t>by 5.8%.</w:t>
      </w:r>
    </w:p>
    <w:p w:rsidR="00D06E51" w:rsidRPr="00D06E51" w:rsidRDefault="00D06E51" w:rsidP="00D06E51">
      <w:pPr>
        <w:spacing w:line="264" w:lineRule="auto"/>
        <w:jc w:val="both"/>
        <w:rPr>
          <w:rFonts w:eastAsiaTheme="minorEastAsia"/>
          <w:lang w:val="en-US" w:eastAsia="en-US"/>
        </w:rPr>
      </w:pPr>
    </w:p>
    <w:p w:rsidR="00D06E51" w:rsidRPr="00D06E51" w:rsidRDefault="00D06E51" w:rsidP="00AD0E8C">
      <w:pPr>
        <w:spacing w:line="264" w:lineRule="auto"/>
        <w:jc w:val="both"/>
        <w:rPr>
          <w:rFonts w:eastAsiaTheme="minorEastAsia"/>
          <w:lang w:val="en-US" w:eastAsia="en-US"/>
        </w:rPr>
      </w:pPr>
      <w:r w:rsidRPr="00D06E51">
        <w:rPr>
          <w:rFonts w:eastAsiaTheme="minorEastAsia"/>
          <w:b/>
          <w:bCs/>
          <w:lang w:val="en-US" w:eastAsia="en-US"/>
        </w:rPr>
        <w:t>Public Sector:</w:t>
      </w:r>
      <w:r w:rsidRPr="00D06E51">
        <w:rPr>
          <w:rFonts w:eastAsiaTheme="minorEastAsia"/>
          <w:lang w:val="en-US" w:eastAsia="en-US"/>
        </w:rPr>
        <w:t xml:space="preserve"> In 2017, Palestinian operating public sector establishments reached 9,427 (6.1% of the total number of operating </w:t>
      </w:r>
      <w:bookmarkStart w:id="12" w:name="_Hlk38636844"/>
      <w:r w:rsidRPr="00D06E51">
        <w:rPr>
          <w:rFonts w:eastAsiaTheme="minorEastAsia"/>
          <w:lang w:val="en-US" w:eastAsia="en-US"/>
        </w:rPr>
        <w:t>establishments</w:t>
      </w:r>
      <w:bookmarkEnd w:id="12"/>
      <w:r w:rsidRPr="00D06E51">
        <w:rPr>
          <w:rFonts w:eastAsiaTheme="minorEastAsia"/>
          <w:lang w:val="en-US" w:eastAsia="en-US"/>
        </w:rPr>
        <w:t>), of which 91.4% are owned by the Palestinian public sector, 3.0% by the foreign public sector and 5.6% by UNRWA. The number increased by 250 establishments, i.e. 2.7%, during 2012</w:t>
      </w:r>
      <w:r w:rsidR="00AD0E8C">
        <w:rPr>
          <w:rFonts w:eastAsiaTheme="minorEastAsia"/>
          <w:lang w:val="en-US" w:eastAsia="en-US"/>
        </w:rPr>
        <w:t xml:space="preserve">, </w:t>
      </w:r>
      <w:r w:rsidRPr="00D06E51">
        <w:rPr>
          <w:rFonts w:eastAsiaTheme="minorEastAsia"/>
          <w:lang w:val="en-US" w:eastAsia="en-US"/>
        </w:rPr>
        <w:t>2017 (An increase of local public sector establishments by 5.6%, as opposed to a decline in the number of foreign public sector establishments by 42.2%, and a decrease of UNRWA-run establishments by 0.2%).</w:t>
      </w:r>
    </w:p>
    <w:p w:rsidR="00D06E51" w:rsidRPr="00D06E51" w:rsidRDefault="00D06E51" w:rsidP="00D06E51">
      <w:pPr>
        <w:spacing w:line="264" w:lineRule="auto"/>
        <w:jc w:val="both"/>
        <w:rPr>
          <w:rFonts w:eastAsiaTheme="minorEastAsia"/>
          <w:lang w:val="en-US" w:eastAsia="en-US"/>
        </w:rPr>
      </w:pPr>
    </w:p>
    <w:p w:rsidR="00D06E51" w:rsidRPr="00D06E51" w:rsidRDefault="00D06E51" w:rsidP="004F25EC">
      <w:pPr>
        <w:spacing w:line="264" w:lineRule="auto"/>
        <w:jc w:val="both"/>
        <w:rPr>
          <w:rFonts w:eastAsiaTheme="minorEastAsia"/>
          <w:lang w:val="en-US" w:eastAsia="en-US"/>
        </w:rPr>
      </w:pPr>
      <w:bookmarkStart w:id="13" w:name="_Hlk38637378"/>
      <w:r w:rsidRPr="00D06E51">
        <w:rPr>
          <w:rFonts w:eastAsiaTheme="minorEastAsia"/>
          <w:b/>
          <w:bCs/>
          <w:lang w:val="en-US" w:eastAsia="en-US"/>
        </w:rPr>
        <w:t xml:space="preserve">Non-Governmental Organization </w:t>
      </w:r>
      <w:bookmarkEnd w:id="13"/>
      <w:r w:rsidRPr="00D06E51">
        <w:rPr>
          <w:rFonts w:eastAsiaTheme="minorEastAsia"/>
          <w:b/>
          <w:bCs/>
          <w:lang w:val="en-US" w:eastAsia="en-US"/>
        </w:rPr>
        <w:t>Sector:</w:t>
      </w:r>
      <w:r w:rsidRPr="00D06E51">
        <w:rPr>
          <w:rFonts w:eastAsiaTheme="minorEastAsia"/>
          <w:lang w:val="en-US" w:eastAsia="en-US"/>
        </w:rPr>
        <w:t xml:space="preserve"> In 2017, Palestinian operating non-governmental organization sector establishments totaled 3,688 (2.4% of total establishments); a decline of 1.1% for the same period 2012</w:t>
      </w:r>
      <w:r w:rsidR="004F25EC">
        <w:rPr>
          <w:rFonts w:eastAsiaTheme="minorEastAsia"/>
          <w:lang w:val="en-US" w:eastAsia="en-US"/>
        </w:rPr>
        <w:t xml:space="preserve">, </w:t>
      </w:r>
      <w:r w:rsidRPr="00D06E51">
        <w:rPr>
          <w:rFonts w:eastAsiaTheme="minorEastAsia"/>
          <w:lang w:val="en-US" w:eastAsia="en-US"/>
        </w:rPr>
        <w:t>2017.</w:t>
      </w: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br/>
        <w:t xml:space="preserve">The analysis of the distribution and change in operating establishments by ownership resulted in the following findings: </w:t>
      </w:r>
    </w:p>
    <w:p w:rsidR="00D06E51" w:rsidRPr="00D06E51" w:rsidRDefault="00D06E51" w:rsidP="00D06E51">
      <w:pPr>
        <w:numPr>
          <w:ilvl w:val="0"/>
          <w:numId w:val="38"/>
        </w:numPr>
        <w:spacing w:line="264" w:lineRule="auto"/>
        <w:jc w:val="both"/>
        <w:rPr>
          <w:rFonts w:eastAsiaTheme="minorEastAsia"/>
          <w:lang w:val="en-US" w:eastAsia="en-US"/>
        </w:rPr>
      </w:pPr>
      <w:r w:rsidRPr="00D06E51">
        <w:rPr>
          <w:rFonts w:eastAsiaTheme="minorEastAsia"/>
          <w:lang w:val="en-US" w:eastAsia="en-US"/>
        </w:rPr>
        <w:t>Most establishments are owned by the private national sector at the regional and governorate levels.</w:t>
      </w:r>
    </w:p>
    <w:p w:rsidR="00D06E51" w:rsidRPr="00D06E51" w:rsidRDefault="00D06E51" w:rsidP="00D06E51">
      <w:pPr>
        <w:numPr>
          <w:ilvl w:val="0"/>
          <w:numId w:val="38"/>
        </w:numPr>
        <w:spacing w:line="264" w:lineRule="auto"/>
        <w:jc w:val="both"/>
        <w:rPr>
          <w:rFonts w:eastAsiaTheme="minorEastAsia"/>
          <w:lang w:val="en-US" w:eastAsia="en-US"/>
        </w:rPr>
      </w:pPr>
      <w:r w:rsidRPr="00D06E51">
        <w:rPr>
          <w:rFonts w:eastAsiaTheme="minorEastAsia"/>
          <w:lang w:val="en-US" w:eastAsia="en-US"/>
        </w:rPr>
        <w:t>A drop in the number of UNRWA-run establishments in the West Bank and Jerusalem, as opposed to a rise in the number of such establishments in Gaza Strip.</w:t>
      </w:r>
    </w:p>
    <w:p w:rsidR="00D06E51" w:rsidRPr="00D06E51" w:rsidRDefault="00D06E51" w:rsidP="00D06E51">
      <w:pPr>
        <w:numPr>
          <w:ilvl w:val="0"/>
          <w:numId w:val="38"/>
        </w:numPr>
        <w:spacing w:line="264" w:lineRule="auto"/>
        <w:jc w:val="both"/>
        <w:rPr>
          <w:rFonts w:eastAsiaTheme="minorEastAsia"/>
          <w:lang w:val="en-US" w:eastAsia="en-US"/>
        </w:rPr>
      </w:pPr>
      <w:r w:rsidRPr="00D06E51">
        <w:rPr>
          <w:rFonts w:eastAsiaTheme="minorEastAsia"/>
          <w:lang w:val="en-US" w:eastAsia="en-US"/>
        </w:rPr>
        <w:lastRenderedPageBreak/>
        <w:t>A significant decline in the growth of the number of civil sector establishments, including NGOs and cooperatives in all governorates of the West Bank as opposed to</w:t>
      </w:r>
      <w:r w:rsidRPr="00D06E51" w:rsidDel="00A52F08">
        <w:rPr>
          <w:rFonts w:eastAsiaTheme="minorEastAsia"/>
          <w:lang w:val="en-US" w:eastAsia="en-US"/>
        </w:rPr>
        <w:t xml:space="preserve"> </w:t>
      </w:r>
      <w:r w:rsidRPr="00D06E51">
        <w:rPr>
          <w:rFonts w:eastAsiaTheme="minorEastAsia"/>
          <w:lang w:val="en-US" w:eastAsia="en-US"/>
        </w:rPr>
        <w:t>a very weak growth in most of the governorates in Gaza Strip.</w:t>
      </w:r>
    </w:p>
    <w:p w:rsidR="00D06E51" w:rsidRPr="00D06E51" w:rsidRDefault="00D06E51" w:rsidP="00D06E51">
      <w:pPr>
        <w:spacing w:line="264" w:lineRule="auto"/>
        <w:jc w:val="both"/>
        <w:rPr>
          <w:rFonts w:eastAsiaTheme="minorEastAsia"/>
          <w:rtl/>
          <w:lang w:val="en-US" w:eastAsia="en-US"/>
        </w:rPr>
      </w:pPr>
    </w:p>
    <w:p w:rsidR="00D06E51" w:rsidRPr="00D06E51" w:rsidRDefault="00D06E51" w:rsidP="004F25EC">
      <w:pPr>
        <w:numPr>
          <w:ilvl w:val="0"/>
          <w:numId w:val="32"/>
        </w:numPr>
        <w:spacing w:line="264" w:lineRule="auto"/>
        <w:ind w:left="270" w:hanging="270"/>
        <w:jc w:val="both"/>
        <w:rPr>
          <w:rFonts w:eastAsiaTheme="minorEastAsia"/>
          <w:b/>
          <w:bCs/>
          <w:lang w:val="en-US" w:eastAsia="en-US"/>
        </w:rPr>
      </w:pPr>
      <w:r w:rsidRPr="00D06E51">
        <w:rPr>
          <w:rFonts w:eastAsiaTheme="minorEastAsia"/>
          <w:b/>
          <w:bCs/>
          <w:lang w:val="en-US" w:eastAsia="en-US"/>
        </w:rPr>
        <w:t xml:space="preserve">Distribution of Operating Establishments' Employees (Males and Females) by Economic Activity and Number of Employees at National and Regional Levels,   </w:t>
      </w:r>
      <w:r>
        <w:rPr>
          <w:rFonts w:eastAsiaTheme="minorEastAsia"/>
          <w:b/>
          <w:bCs/>
          <w:lang w:val="en-US" w:eastAsia="en-US"/>
        </w:rPr>
        <w:t xml:space="preserve">     </w:t>
      </w:r>
      <w:r w:rsidRPr="00D06E51">
        <w:rPr>
          <w:rFonts w:eastAsiaTheme="minorEastAsia"/>
          <w:b/>
          <w:bCs/>
          <w:lang w:val="en-US" w:eastAsia="en-US"/>
        </w:rPr>
        <w:t xml:space="preserve">  2012</w:t>
      </w:r>
      <w:r w:rsidR="004F25EC">
        <w:rPr>
          <w:rFonts w:eastAsiaTheme="minorEastAsia"/>
          <w:b/>
          <w:bCs/>
          <w:lang w:val="en-US" w:eastAsia="en-US"/>
        </w:rPr>
        <w:t>,</w:t>
      </w:r>
      <w:r w:rsidRPr="00D06E51">
        <w:rPr>
          <w:rFonts w:eastAsiaTheme="minorEastAsia"/>
          <w:b/>
          <w:bCs/>
          <w:lang w:val="en-US" w:eastAsia="en-US"/>
        </w:rPr>
        <w:t xml:space="preserve"> 2017</w:t>
      </w: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In 2017, 444,086 individual worked in operating establishments, with</w:t>
      </w:r>
      <w:r w:rsidRPr="00D06E51">
        <w:rPr>
          <w:rFonts w:eastAsiaTheme="minorEastAsia" w:hint="cs"/>
          <w:rtl/>
          <w:lang w:val="en-US" w:eastAsia="en-US" w:bidi="ar-JO"/>
        </w:rPr>
        <w:t xml:space="preserve"> </w:t>
      </w:r>
      <w:r w:rsidRPr="00D06E51">
        <w:rPr>
          <w:rFonts w:eastAsiaTheme="minorEastAsia"/>
          <w:lang w:val="en-US" w:eastAsia="en-US" w:bidi="ar-JO"/>
        </w:rPr>
        <w:t>an increase of</w:t>
      </w:r>
      <w:r w:rsidRPr="00D06E51">
        <w:rPr>
          <w:rFonts w:eastAsiaTheme="minorEastAsia"/>
          <w:lang w:val="en-US" w:eastAsia="en-US"/>
        </w:rPr>
        <w:t xml:space="preserve"> 59,308 individual (15.4%) compared to 2012. This is an annual growth rate of 3.1%, which is resulted from the increase in the number of males and the increase in the number of females, </w:t>
      </w:r>
      <w:r w:rsidRPr="00D06E51">
        <w:rPr>
          <w:rFonts w:eastAsiaTheme="minorEastAsia"/>
          <w:lang w:val="en-US" w:eastAsia="en-US" w:bidi="ar-JO"/>
        </w:rPr>
        <w:t xml:space="preserve">of </w:t>
      </w:r>
      <w:r w:rsidRPr="00D06E51">
        <w:rPr>
          <w:rFonts w:eastAsiaTheme="minorEastAsia"/>
          <w:lang w:val="en-US" w:eastAsia="en-US"/>
        </w:rPr>
        <w:t>13.6% 23.6%, respectively. Despite the slight improvement in the percentage of female participation (1.3%), their economic participation rate in 2017 remained very low (19.3%), which might be the lowest globally, compared to males, and may be the lowest compared to the global female economic participation.</w:t>
      </w:r>
    </w:p>
    <w:p w:rsidR="00D06E51" w:rsidRPr="00D06E51" w:rsidRDefault="00D06E51" w:rsidP="00D06E51">
      <w:pPr>
        <w:bidi/>
        <w:spacing w:line="264" w:lineRule="auto"/>
        <w:jc w:val="both"/>
        <w:rPr>
          <w:rFonts w:eastAsiaTheme="minorEastAsia"/>
          <w:rtl/>
          <w:lang w:val="en-US" w:eastAsia="en-US"/>
        </w:rPr>
      </w:pPr>
      <w:r w:rsidRPr="00D06E51">
        <w:rPr>
          <w:rFonts w:eastAsiaTheme="minorEastAsia"/>
          <w:lang w:val="en-US" w:eastAsia="en-US"/>
        </w:rPr>
        <w:t xml:space="preserve"> </w:t>
      </w: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The distribution of employees showed an imbalance between the West Bank and Gaza Strip, suggesting a growing development gap between the two regions. While the share of employees in the West Bank's establishments rose from 68.3% in 2012 to 69.8% in 2017. The share of Gaza Strip's employees fell from 31.7% to 30.2% (-1.5%) for the same period. Considering the population distribution as an approximate weighted indicator</w:t>
      </w:r>
      <w:r w:rsidRPr="00D06E51">
        <w:rPr>
          <w:rFonts w:eastAsiaTheme="minorEastAsia"/>
          <w:vertAlign w:val="superscript"/>
          <w:rtl/>
          <w:lang w:val="en-US" w:eastAsia="en-US"/>
        </w:rPr>
        <w:footnoteReference w:id="4"/>
      </w:r>
      <w:r w:rsidRPr="00D06E51">
        <w:rPr>
          <w:rFonts w:eastAsiaTheme="minorEastAsia"/>
          <w:lang w:val="en-US" w:eastAsia="en-US"/>
        </w:rPr>
        <w:t>, where 60.2% of the population in Palestine is in the West Bank and 39.8% in Gaza Strip, the gap is estimated at 8.1%.</w:t>
      </w:r>
    </w:p>
    <w:p w:rsidR="00D06E51" w:rsidRPr="00D06E51" w:rsidRDefault="00D06E51" w:rsidP="00D06E51">
      <w:pPr>
        <w:spacing w:line="264" w:lineRule="auto"/>
        <w:jc w:val="both"/>
        <w:rPr>
          <w:rFonts w:eastAsiaTheme="minorEastAsia"/>
          <w:rtl/>
          <w:lang w:val="en-US" w:eastAsia="en-US"/>
        </w:rPr>
      </w:pPr>
    </w:p>
    <w:p w:rsidR="00D06E51" w:rsidRPr="00D06E51" w:rsidRDefault="00D06E51" w:rsidP="004F25EC">
      <w:pPr>
        <w:spacing w:line="264" w:lineRule="auto"/>
        <w:jc w:val="both"/>
        <w:rPr>
          <w:rFonts w:eastAsiaTheme="minorEastAsia"/>
          <w:lang w:val="en-US" w:eastAsia="en-US"/>
        </w:rPr>
      </w:pPr>
      <w:r w:rsidRPr="00D06E51">
        <w:rPr>
          <w:rFonts w:eastAsiaTheme="minorEastAsia"/>
          <w:lang w:val="en-US" w:eastAsia="en-US"/>
        </w:rPr>
        <w:t xml:space="preserve">Data also revealed a widening/deep gender gap between the two regions. Whereas the female participation rate in the West Bank increased by 1.2 </w:t>
      </w:r>
      <w:bookmarkStart w:id="14" w:name="_Hlk38716279"/>
      <w:r w:rsidRPr="00D06E51">
        <w:rPr>
          <w:rFonts w:eastAsiaTheme="minorEastAsia"/>
          <w:lang w:val="en-US" w:eastAsia="en-US"/>
        </w:rPr>
        <w:t xml:space="preserve">% </w:t>
      </w:r>
      <w:bookmarkEnd w:id="14"/>
      <w:r w:rsidRPr="00D06E51">
        <w:rPr>
          <w:rFonts w:eastAsiaTheme="minorEastAsia"/>
          <w:lang w:val="en-US" w:eastAsia="en-US"/>
        </w:rPr>
        <w:t xml:space="preserve">(from 20.3% to </w:t>
      </w:r>
      <w:r w:rsidRPr="00D06E51">
        <w:rPr>
          <w:rFonts w:eastAsiaTheme="minorEastAsia"/>
          <w:rtl/>
          <w:lang w:val="en-US" w:eastAsia="en-US"/>
        </w:rPr>
        <w:t>21.5</w:t>
      </w:r>
      <w:r w:rsidRPr="00D06E51">
        <w:rPr>
          <w:rFonts w:eastAsiaTheme="minorEastAsia"/>
          <w:lang w:val="en-US" w:eastAsia="en-US"/>
        </w:rPr>
        <w:t>%), while that of Gaza Strip increased by only 1.1% (from 13.5% to 14.6%), which, in return, widened the gender participation gap from 6.8% to 6.9% during 2012</w:t>
      </w:r>
      <w:r w:rsidR="004F25EC">
        <w:rPr>
          <w:rFonts w:eastAsiaTheme="minorEastAsia"/>
          <w:lang w:val="en-US" w:eastAsia="en-US"/>
        </w:rPr>
        <w:t xml:space="preserve">, </w:t>
      </w:r>
      <w:r w:rsidRPr="00D06E51">
        <w:rPr>
          <w:rFonts w:eastAsiaTheme="minorEastAsia"/>
          <w:lang w:val="en-US" w:eastAsia="en-US"/>
        </w:rPr>
        <w:t xml:space="preserve">2017. </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spacing w:line="264" w:lineRule="auto"/>
        <w:jc w:val="both"/>
        <w:rPr>
          <w:rFonts w:eastAsiaTheme="minorEastAsia"/>
          <w:rtl/>
          <w:lang w:val="en-US" w:eastAsia="en-US"/>
        </w:rPr>
      </w:pPr>
      <w:r w:rsidRPr="00D06E51">
        <w:rPr>
          <w:rFonts w:eastAsiaTheme="minorEastAsia"/>
          <w:lang w:val="en-US" w:eastAsia="en-US"/>
        </w:rPr>
        <w:t>The analysis of the distribution of employees by economic activities and gender showed the following important results:</w:t>
      </w:r>
    </w:p>
    <w:p w:rsidR="00D06E51" w:rsidRPr="00D06E51" w:rsidRDefault="00D06E51" w:rsidP="00D06E51">
      <w:pPr>
        <w:numPr>
          <w:ilvl w:val="0"/>
          <w:numId w:val="39"/>
        </w:numPr>
        <w:spacing w:line="264" w:lineRule="auto"/>
        <w:jc w:val="both"/>
        <w:rPr>
          <w:rFonts w:eastAsiaTheme="minorEastAsia"/>
          <w:lang w:val="en-US" w:eastAsia="en-US"/>
        </w:rPr>
      </w:pPr>
      <w:r w:rsidRPr="00D06E51">
        <w:rPr>
          <w:rFonts w:eastAsiaTheme="minorEastAsia"/>
          <w:lang w:val="en-US" w:eastAsia="en-US"/>
        </w:rPr>
        <w:t>Employment growth remained stagnant at the national and governorate levels and in most economic activities.</w:t>
      </w:r>
    </w:p>
    <w:p w:rsidR="00D06E51" w:rsidRPr="00D06E51" w:rsidRDefault="00D06E51" w:rsidP="00D06E51">
      <w:pPr>
        <w:numPr>
          <w:ilvl w:val="0"/>
          <w:numId w:val="39"/>
        </w:numPr>
        <w:spacing w:line="264" w:lineRule="auto"/>
        <w:jc w:val="both"/>
        <w:rPr>
          <w:rFonts w:eastAsiaTheme="minorEastAsia"/>
          <w:lang w:val="en-US" w:eastAsia="en-US"/>
        </w:rPr>
      </w:pPr>
      <w:r w:rsidRPr="00D06E51">
        <w:rPr>
          <w:rFonts w:eastAsiaTheme="minorEastAsia"/>
          <w:lang w:val="en-US" w:eastAsia="en-US"/>
        </w:rPr>
        <w:t>The male-female participation gap is still very wide. There is a slow increase in female participation, especially in Gaza Strip due to the unusually high unemployment rate (beyond 50%).</w:t>
      </w:r>
    </w:p>
    <w:p w:rsidR="00D06E51" w:rsidRPr="00D06E51" w:rsidRDefault="00D06E51" w:rsidP="00D06E51">
      <w:pPr>
        <w:numPr>
          <w:ilvl w:val="0"/>
          <w:numId w:val="39"/>
        </w:numPr>
        <w:spacing w:line="264" w:lineRule="auto"/>
        <w:jc w:val="both"/>
        <w:rPr>
          <w:rFonts w:eastAsiaTheme="minorEastAsia"/>
          <w:lang w:val="en-US" w:eastAsia="en-US"/>
        </w:rPr>
      </w:pPr>
      <w:r w:rsidRPr="00D06E51">
        <w:rPr>
          <w:rFonts w:eastAsiaTheme="minorEastAsia"/>
          <w:lang w:val="en-US" w:eastAsia="en-US"/>
        </w:rPr>
        <w:t>The employment gap between the West Bank and Gaza Strip continues to widen in favor of the latter.</w:t>
      </w:r>
    </w:p>
    <w:p w:rsidR="00D06E51" w:rsidRPr="00D06E51" w:rsidRDefault="00D06E51" w:rsidP="00D06E51">
      <w:pPr>
        <w:numPr>
          <w:ilvl w:val="0"/>
          <w:numId w:val="39"/>
        </w:numPr>
        <w:spacing w:line="264" w:lineRule="auto"/>
        <w:jc w:val="both"/>
        <w:rPr>
          <w:rFonts w:eastAsiaTheme="minorEastAsia"/>
          <w:lang w:val="en-US" w:eastAsia="en-US"/>
        </w:rPr>
      </w:pPr>
      <w:r w:rsidRPr="00D06E51">
        <w:rPr>
          <w:rFonts w:eastAsiaTheme="minorEastAsia"/>
          <w:lang w:val="en-US" w:eastAsia="en-US"/>
        </w:rPr>
        <w:t>The concentration of employees corresponded to concentration in 6 economic activities; yet the variation in the concentration of employees was less severe than in the concentration of the operating establishments.</w:t>
      </w:r>
    </w:p>
    <w:p w:rsidR="00D06E51" w:rsidRPr="00D06E51" w:rsidRDefault="00D06E51" w:rsidP="00D06E51">
      <w:pPr>
        <w:numPr>
          <w:ilvl w:val="0"/>
          <w:numId w:val="39"/>
        </w:numPr>
        <w:spacing w:line="264" w:lineRule="auto"/>
        <w:jc w:val="both"/>
        <w:rPr>
          <w:rFonts w:eastAsiaTheme="minorEastAsia"/>
          <w:lang w:val="en-US" w:eastAsia="en-US"/>
        </w:rPr>
      </w:pPr>
      <w:r w:rsidRPr="00D06E51">
        <w:rPr>
          <w:rFonts w:eastAsiaTheme="minorEastAsia"/>
          <w:lang w:val="en-US" w:eastAsia="en-US"/>
        </w:rPr>
        <w:t xml:space="preserve">The microenterprises (employing 1-4 employees) ranked first in terms of their role in generating new jobs, or in increasing the number of employees in the operating </w:t>
      </w:r>
      <w:r w:rsidRPr="00D06E51">
        <w:rPr>
          <w:rFonts w:eastAsiaTheme="minorEastAsia"/>
          <w:lang w:val="en-US" w:eastAsia="en-US"/>
        </w:rPr>
        <w:lastRenderedPageBreak/>
        <w:t>establishments. The role of large companies in generating new jobs was in the third rank in the West Bank and the sixth rank (last) in Gaza Strip.</w:t>
      </w:r>
    </w:p>
    <w:p w:rsidR="00D06E51" w:rsidRPr="00D06E51" w:rsidRDefault="00D06E51" w:rsidP="00AD0E8C">
      <w:pPr>
        <w:spacing w:line="264" w:lineRule="auto"/>
        <w:jc w:val="both"/>
        <w:rPr>
          <w:rFonts w:eastAsiaTheme="minorEastAsia"/>
          <w:lang w:val="en-US" w:eastAsia="en-US"/>
        </w:rPr>
      </w:pPr>
      <w:r w:rsidRPr="00D06E51">
        <w:rPr>
          <w:rFonts w:eastAsiaTheme="minorEastAsia"/>
          <w:lang w:val="en-US" w:eastAsia="en-US"/>
        </w:rPr>
        <w:br/>
      </w:r>
      <w:r w:rsidRPr="00D06E51">
        <w:rPr>
          <w:rFonts w:eastAsiaTheme="minorEastAsia"/>
          <w:b/>
          <w:bCs/>
          <w:lang w:val="en-US" w:eastAsia="en-US"/>
        </w:rPr>
        <w:t>7. Percentage Distribution of Employees in Operating Establishments by Governorates and Economic Activities, Percentage Distribution of Change in their Numbers and Estimation of Employees' Relative Contribution to Value Added in 2012</w:t>
      </w:r>
      <w:r w:rsidR="00AD0E8C">
        <w:rPr>
          <w:rFonts w:eastAsiaTheme="minorEastAsia"/>
          <w:b/>
          <w:bCs/>
          <w:lang w:val="en-US" w:eastAsia="en-US"/>
        </w:rPr>
        <w:t>,</w:t>
      </w:r>
      <w:r w:rsidRPr="00D06E51">
        <w:rPr>
          <w:rFonts w:eastAsiaTheme="minorEastAsia"/>
          <w:b/>
          <w:bCs/>
          <w:lang w:val="en-US" w:eastAsia="en-US"/>
        </w:rPr>
        <w:t xml:space="preserve"> 2017</w:t>
      </w: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 xml:space="preserve">Due to the existing political situation in Palestine and the constraints facing PCBS, there is a lack in the reliable field data on the change in the value added contribution of the operating establishments in the governorates and in various economic activities, as well as the lack of direct access to financial data through censuses. Therefore, it is permissible to rely on data from two proxy indicators to estimate the percentage contribution of economic establishments, in the governorates and in the economic activities, to the creation of value added, and its incremental growth. </w:t>
      </w:r>
    </w:p>
    <w:p w:rsidR="00D06E51" w:rsidRPr="00D06E51" w:rsidRDefault="00D06E51" w:rsidP="00D06E51">
      <w:pPr>
        <w:spacing w:line="264" w:lineRule="auto"/>
        <w:jc w:val="both"/>
        <w:rPr>
          <w:rFonts w:eastAsiaTheme="minorEastAsia"/>
          <w:lang w:val="en-US" w:eastAsia="en-US"/>
        </w:rPr>
      </w:pPr>
    </w:p>
    <w:p w:rsidR="00D06E51" w:rsidRPr="00D06E51" w:rsidRDefault="00D06E51" w:rsidP="00AD0E8C">
      <w:pPr>
        <w:spacing w:line="264" w:lineRule="auto"/>
        <w:jc w:val="both"/>
        <w:rPr>
          <w:rFonts w:eastAsiaTheme="minorEastAsia"/>
          <w:lang w:val="en-US" w:eastAsia="en-US"/>
        </w:rPr>
      </w:pPr>
      <w:r w:rsidRPr="00D06E51">
        <w:rPr>
          <w:rFonts w:eastAsiaTheme="minorEastAsia"/>
          <w:lang w:val="en-US" w:eastAsia="en-US"/>
        </w:rPr>
        <w:t>The number of employees in operating establishments in the governorates and economic activities in 2017 (volume indicator) will be used to illustrate governorates’ roles in the Palestinian economy. The growth in the number of employees in the governorate operating establishments during 2012</w:t>
      </w:r>
      <w:r w:rsidR="00AD0E8C">
        <w:rPr>
          <w:rFonts w:eastAsiaTheme="minorEastAsia"/>
          <w:lang w:val="en-US" w:eastAsia="en-US"/>
        </w:rPr>
        <w:t xml:space="preserve">, </w:t>
      </w:r>
      <w:r w:rsidRPr="00D06E51">
        <w:rPr>
          <w:rFonts w:eastAsiaTheme="minorEastAsia"/>
          <w:lang w:val="en-US" w:eastAsia="en-US"/>
        </w:rPr>
        <w:t xml:space="preserve">2017 (growth indicator) can also be used to determine the percentage contribution of each governorate to GDP growth. </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Accordingly, this indicator will be used to identify directions in the change of the sources of GDP formation. The following table illustrates a quick reference for comparing the role of each governorate in the Palestinian economy. Additionally, the comparison between the contributions of governorates of different resources and population sizes also needs weighting to neutralize the effect of those differences, which impact the real performance of each governorate's economy. Hence, we dealt with this issue by weighting the indicators of the contribution of the governorates to GDP and its growth by the percentage of each governorate's population to the total population of Palestine.</w:t>
      </w:r>
    </w:p>
    <w:p w:rsidR="00D06E51" w:rsidRPr="00D06E51" w:rsidRDefault="00D06E51" w:rsidP="00D06E51">
      <w:pPr>
        <w:spacing w:line="264" w:lineRule="auto"/>
        <w:jc w:val="both"/>
        <w:rPr>
          <w:rFonts w:eastAsiaTheme="minorEastAsia"/>
          <w:lang w:val="en-US" w:eastAsia="en-US"/>
        </w:rPr>
      </w:pPr>
    </w:p>
    <w:p w:rsidR="00D06E51" w:rsidRPr="00D06E51" w:rsidRDefault="00D06E51" w:rsidP="00AD0E8C">
      <w:pPr>
        <w:spacing w:line="264" w:lineRule="auto"/>
        <w:jc w:val="both"/>
        <w:rPr>
          <w:rFonts w:eastAsiaTheme="minorEastAsia"/>
          <w:lang w:val="en-US" w:eastAsia="en-US"/>
        </w:rPr>
      </w:pPr>
      <w:r w:rsidRPr="00D06E51">
        <w:rPr>
          <w:rFonts w:eastAsiaTheme="minorEastAsia"/>
          <w:lang w:val="en-US" w:eastAsia="en-US"/>
        </w:rPr>
        <w:t>Related to the above, we came up with three indicators that illustrate the ranking of each governorate according to the size of population in 2017, and its relative share in employment growth for the period 2012</w:t>
      </w:r>
      <w:r w:rsidR="00AD0E8C">
        <w:rPr>
          <w:rFonts w:eastAsiaTheme="minorEastAsia"/>
          <w:lang w:val="en-US" w:eastAsia="en-US"/>
        </w:rPr>
        <w:t xml:space="preserve">, </w:t>
      </w:r>
      <w:r w:rsidRPr="00D06E51">
        <w:rPr>
          <w:rFonts w:eastAsiaTheme="minorEastAsia"/>
          <w:lang w:val="en-US" w:eastAsia="en-US"/>
        </w:rPr>
        <w:t>2017. It provides a simple basis for delivering a quick and clear comparison related to the three indicators</w:t>
      </w:r>
      <w:r w:rsidR="004F25EC">
        <w:rPr>
          <w:rFonts w:eastAsiaTheme="minorEastAsia"/>
          <w:lang w:val="en-US" w:eastAsia="en-US"/>
        </w:rPr>
        <w:t xml:space="preserve"> (see table 2 page 79)</w:t>
      </w:r>
      <w:r w:rsidRPr="00D06E51">
        <w:rPr>
          <w:rFonts w:eastAsiaTheme="minorEastAsia"/>
          <w:lang w:val="en-US" w:eastAsia="en-US"/>
        </w:rPr>
        <w:t xml:space="preserve">, summarized as follows: </w:t>
      </w:r>
    </w:p>
    <w:p w:rsidR="00D06E51" w:rsidRPr="00D06E51" w:rsidRDefault="00D06E51" w:rsidP="00D06E51">
      <w:pPr>
        <w:spacing w:line="264" w:lineRule="auto"/>
        <w:jc w:val="both"/>
        <w:rPr>
          <w:rFonts w:eastAsiaTheme="minorEastAsia"/>
          <w:lang w:val="en-US" w:eastAsia="en-US"/>
        </w:rPr>
      </w:pPr>
    </w:p>
    <w:p w:rsidR="00D06E51" w:rsidRPr="00D06E51" w:rsidRDefault="00D06E51" w:rsidP="004F25EC">
      <w:pPr>
        <w:numPr>
          <w:ilvl w:val="0"/>
          <w:numId w:val="42"/>
        </w:numPr>
        <w:spacing w:line="264" w:lineRule="auto"/>
        <w:jc w:val="both"/>
        <w:rPr>
          <w:rFonts w:eastAsiaTheme="minorEastAsia"/>
          <w:lang w:val="en-US" w:eastAsia="en-US"/>
        </w:rPr>
      </w:pPr>
      <w:r w:rsidRPr="00D06E51">
        <w:rPr>
          <w:rFonts w:eastAsiaTheme="minorEastAsia"/>
          <w:lang w:val="en-US" w:eastAsia="en-US"/>
        </w:rPr>
        <w:t>The percentage of the population in each governorate, of total population in Palestine 2017, given the most prominent specific population available for the capabilities of the governorate's economy (The population indicator).</w:t>
      </w:r>
    </w:p>
    <w:p w:rsidR="00D06E51" w:rsidRPr="00D06E51" w:rsidRDefault="00D06E51" w:rsidP="004F25EC">
      <w:pPr>
        <w:numPr>
          <w:ilvl w:val="0"/>
          <w:numId w:val="42"/>
        </w:numPr>
        <w:spacing w:line="264" w:lineRule="auto"/>
        <w:jc w:val="both"/>
        <w:rPr>
          <w:rFonts w:eastAsiaTheme="minorEastAsia"/>
          <w:lang w:val="en-US" w:eastAsia="en-US"/>
        </w:rPr>
      </w:pPr>
      <w:r w:rsidRPr="00D06E51">
        <w:rPr>
          <w:rFonts w:eastAsiaTheme="minorEastAsia"/>
          <w:lang w:val="en-US" w:eastAsia="en-US"/>
        </w:rPr>
        <w:t>The percentage of employees in operating establishments in each governorate of the total number of employees in all operating establishments in Palestine  2017, being the source of generating value added (The volume indicator).</w:t>
      </w:r>
    </w:p>
    <w:p w:rsidR="00D06E51" w:rsidRPr="00D06E51" w:rsidRDefault="00D06E51" w:rsidP="00AD0E8C">
      <w:pPr>
        <w:numPr>
          <w:ilvl w:val="0"/>
          <w:numId w:val="42"/>
        </w:numPr>
        <w:spacing w:line="264" w:lineRule="auto"/>
        <w:jc w:val="both"/>
        <w:rPr>
          <w:rFonts w:eastAsiaTheme="minorEastAsia"/>
          <w:lang w:val="en-US" w:eastAsia="en-US"/>
        </w:rPr>
      </w:pPr>
      <w:r w:rsidRPr="00D06E51">
        <w:rPr>
          <w:rFonts w:eastAsiaTheme="minorEastAsia"/>
          <w:lang w:val="en-US" w:eastAsia="en-US"/>
        </w:rPr>
        <w:t>The percentage of the governorate’s contribution of the operating establishments to the increase in the number of employees in all the operating establishments in Palestine in the period 2012</w:t>
      </w:r>
      <w:r w:rsidR="00AD0E8C">
        <w:rPr>
          <w:rFonts w:eastAsiaTheme="minorEastAsia"/>
          <w:lang w:val="en-US" w:eastAsia="en-US"/>
        </w:rPr>
        <w:t xml:space="preserve">, </w:t>
      </w:r>
      <w:r w:rsidRPr="00D06E51">
        <w:rPr>
          <w:rFonts w:eastAsiaTheme="minorEastAsia"/>
          <w:lang w:val="en-US" w:eastAsia="en-US"/>
        </w:rPr>
        <w:t>2017, as it reflects the size and trends of the change in employment growth, or the increase in value added (later the growth indicator).</w:t>
      </w:r>
    </w:p>
    <w:p w:rsidR="00D06E51" w:rsidRPr="00D06E51" w:rsidRDefault="00D06E51" w:rsidP="00D06E51">
      <w:pPr>
        <w:spacing w:line="264" w:lineRule="auto"/>
        <w:ind w:left="270" w:hanging="270"/>
        <w:jc w:val="both"/>
        <w:rPr>
          <w:rFonts w:eastAsiaTheme="minorEastAsia"/>
          <w:lang w:val="en-US" w:eastAsia="en-US"/>
        </w:rPr>
      </w:pP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lastRenderedPageBreak/>
        <w:t>This analysis is based on the assumption that the number of employees in operating establishments and the increase in their number in the governorate is proportional to its population. This assumption is valid due to the homogeneity of society in all governorates, despite the small differences in the population pyramid between the West Bank and Gaza Strip. That is, the governorate that has the largest population is able to provide the largest number of employees, and it is the most able to achieve the largest increase in the growth of the number of employees as well, and vice versa. For the purpose of simplifying the model, we have determined the rank of each governorate in these indicators to facilitate comparison among them. The following are the general changes in the employment by the governorates economy, the most prominent of which are</w:t>
      </w:r>
      <w:r w:rsidRPr="00D06E51">
        <w:rPr>
          <w:rFonts w:eastAsiaTheme="minorEastAsia"/>
          <w:vertAlign w:val="superscript"/>
          <w:rtl/>
          <w:lang w:val="en-US" w:eastAsia="en-US"/>
        </w:rPr>
        <w:footnoteReference w:id="5"/>
      </w:r>
      <w:r w:rsidRPr="00D06E51">
        <w:rPr>
          <w:rFonts w:eastAsiaTheme="minorEastAsia"/>
          <w:lang w:val="en-US" w:eastAsia="en-US"/>
        </w:rPr>
        <w:t>:</w:t>
      </w:r>
    </w:p>
    <w:p w:rsidR="00D06E51" w:rsidRPr="00D06E51" w:rsidRDefault="00D06E51" w:rsidP="00D06E51">
      <w:pPr>
        <w:spacing w:line="264" w:lineRule="auto"/>
        <w:jc w:val="both"/>
        <w:rPr>
          <w:rFonts w:eastAsiaTheme="minorEastAsia"/>
          <w:rtl/>
          <w:lang w:val="en-US" w:eastAsia="en-US"/>
        </w:rPr>
      </w:pPr>
    </w:p>
    <w:p w:rsidR="00D06E51" w:rsidRPr="00D06E51" w:rsidRDefault="00D06E51" w:rsidP="00D06E51">
      <w:pPr>
        <w:spacing w:line="264" w:lineRule="auto"/>
        <w:jc w:val="both"/>
        <w:rPr>
          <w:rFonts w:eastAsiaTheme="minorEastAsia"/>
          <w:rtl/>
          <w:lang w:val="en-US" w:eastAsia="en-US"/>
        </w:rPr>
      </w:pPr>
      <w:r w:rsidRPr="00D06E51">
        <w:rPr>
          <w:rFonts w:eastAsiaTheme="minorEastAsia"/>
          <w:b/>
          <w:bCs/>
          <w:lang w:val="en-US" w:eastAsia="en-US"/>
        </w:rPr>
        <w:t>First</w:t>
      </w:r>
      <w:r w:rsidRPr="00D06E51">
        <w:rPr>
          <w:rFonts w:eastAsiaTheme="minorEastAsia"/>
          <w:lang w:val="en-US" w:eastAsia="en-US"/>
        </w:rPr>
        <w:t xml:space="preserve">: The size and growth indicators in Jerusalem governorate have declined significantly, which we have seen in all other indicators that reflect the conditions and challenges facing the governorate due to the Israeli occupation procedures. </w:t>
      </w:r>
    </w:p>
    <w:p w:rsidR="00D06E51" w:rsidRPr="00D06E51" w:rsidRDefault="00D06E51" w:rsidP="00D06E51">
      <w:pPr>
        <w:spacing w:line="264" w:lineRule="auto"/>
        <w:jc w:val="both"/>
        <w:rPr>
          <w:rFonts w:eastAsiaTheme="minorEastAsia"/>
          <w:rtl/>
          <w:lang w:val="en-US" w:eastAsia="en-US"/>
        </w:rPr>
      </w:pPr>
    </w:p>
    <w:p w:rsidR="00D06E51" w:rsidRPr="00D06E51" w:rsidRDefault="00D06E51" w:rsidP="004F25EC">
      <w:pPr>
        <w:spacing w:line="264" w:lineRule="auto"/>
        <w:jc w:val="both"/>
        <w:rPr>
          <w:rFonts w:eastAsiaTheme="minorEastAsia"/>
          <w:lang w:val="en-US" w:eastAsia="en-US"/>
        </w:rPr>
      </w:pPr>
      <w:r w:rsidRPr="00D06E51">
        <w:rPr>
          <w:rFonts w:eastAsiaTheme="minorEastAsia"/>
          <w:b/>
          <w:bCs/>
          <w:lang w:val="en-US" w:eastAsia="en-US"/>
        </w:rPr>
        <w:t>Second</w:t>
      </w:r>
      <w:r w:rsidRPr="00D06E51">
        <w:rPr>
          <w:rFonts w:eastAsiaTheme="minorEastAsia"/>
          <w:lang w:val="en-US" w:eastAsia="en-US"/>
        </w:rPr>
        <w:t xml:space="preserve">: The size and growth indicators have declined in most of Gaza Strip governorates, of which varied from one to another governorate; where the negative difference between the population indicator and the size (employment rate) and growth (percentage of the increase in employment) indicators were more in North Gaza </w:t>
      </w:r>
      <w:r w:rsidR="004F25EC" w:rsidRPr="00D06E51">
        <w:rPr>
          <w:rFonts w:eastAsiaTheme="minorEastAsia"/>
          <w:lang w:val="en-US" w:eastAsia="en-US"/>
        </w:rPr>
        <w:t>g</w:t>
      </w:r>
      <w:r w:rsidRPr="00D06E51">
        <w:rPr>
          <w:rFonts w:eastAsiaTheme="minorEastAsia"/>
          <w:lang w:val="en-US" w:eastAsia="en-US"/>
        </w:rPr>
        <w:t xml:space="preserve">overnorate, Khan Yunis </w:t>
      </w:r>
      <w:r w:rsidR="004F25EC" w:rsidRPr="00D06E51">
        <w:rPr>
          <w:rFonts w:eastAsiaTheme="minorEastAsia"/>
          <w:lang w:val="en-US" w:eastAsia="en-US"/>
        </w:rPr>
        <w:t>g</w:t>
      </w:r>
      <w:r w:rsidRPr="00D06E51">
        <w:rPr>
          <w:rFonts w:eastAsiaTheme="minorEastAsia"/>
          <w:lang w:val="en-US" w:eastAsia="en-US"/>
        </w:rPr>
        <w:t xml:space="preserve">overnorate and Dier al-Balah </w:t>
      </w:r>
      <w:r w:rsidR="004F25EC" w:rsidRPr="00D06E51">
        <w:rPr>
          <w:rFonts w:eastAsiaTheme="minorEastAsia"/>
          <w:lang w:val="en-US" w:eastAsia="en-US"/>
        </w:rPr>
        <w:t>g</w:t>
      </w:r>
      <w:r w:rsidRPr="00D06E51">
        <w:rPr>
          <w:rFonts w:eastAsiaTheme="minorEastAsia"/>
          <w:lang w:val="en-US" w:eastAsia="en-US"/>
        </w:rPr>
        <w:t xml:space="preserve">overnorate than other Gaza Strip’s governorates. Nevertheless, data indicated some positive phenomena, such as the progress/rise in the size indicator of Gaza </w:t>
      </w:r>
      <w:r w:rsidR="004F25EC" w:rsidRPr="00D06E51">
        <w:rPr>
          <w:rFonts w:eastAsiaTheme="minorEastAsia"/>
          <w:lang w:val="en-US" w:eastAsia="en-US"/>
        </w:rPr>
        <w:t>g</w:t>
      </w:r>
      <w:r w:rsidRPr="00D06E51">
        <w:rPr>
          <w:rFonts w:eastAsiaTheme="minorEastAsia"/>
          <w:lang w:val="en-US" w:eastAsia="en-US"/>
        </w:rPr>
        <w:t xml:space="preserve">overnorate, and that Dier Al-Balah maintained the size and growth indicators consistent with the population indicator and Rafah </w:t>
      </w:r>
      <w:r w:rsidR="004F25EC" w:rsidRPr="00D06E51">
        <w:rPr>
          <w:rFonts w:eastAsiaTheme="minorEastAsia"/>
          <w:lang w:val="en-US" w:eastAsia="en-US"/>
        </w:rPr>
        <w:t>g</w:t>
      </w:r>
      <w:r w:rsidRPr="00D06E51">
        <w:rPr>
          <w:rFonts w:eastAsiaTheme="minorEastAsia"/>
          <w:lang w:val="en-US" w:eastAsia="en-US"/>
        </w:rPr>
        <w:t>overnorate ranking in the growth indicator has advanced.</w:t>
      </w:r>
    </w:p>
    <w:p w:rsidR="00D06E51" w:rsidRPr="00D06E51" w:rsidRDefault="00D06E51" w:rsidP="00D06E51">
      <w:pPr>
        <w:spacing w:line="264" w:lineRule="auto"/>
        <w:jc w:val="both"/>
        <w:rPr>
          <w:rFonts w:eastAsiaTheme="minorEastAsia"/>
          <w:lang w:val="en-US" w:eastAsia="en-US"/>
        </w:rPr>
      </w:pPr>
    </w:p>
    <w:p w:rsidR="00D06E51" w:rsidRPr="00D06E51" w:rsidRDefault="00D06E51" w:rsidP="004F25EC">
      <w:pPr>
        <w:spacing w:line="264" w:lineRule="auto"/>
        <w:jc w:val="both"/>
        <w:rPr>
          <w:rFonts w:eastAsiaTheme="minorEastAsia"/>
          <w:lang w:val="en-US" w:eastAsia="en-US"/>
        </w:rPr>
      </w:pPr>
      <w:r w:rsidRPr="00D06E51">
        <w:rPr>
          <w:rFonts w:eastAsiaTheme="minorEastAsia"/>
          <w:b/>
          <w:bCs/>
          <w:lang w:val="en-US" w:eastAsia="en-US"/>
        </w:rPr>
        <w:t>Third:</w:t>
      </w:r>
      <w:r w:rsidRPr="00D06E51">
        <w:rPr>
          <w:rFonts w:eastAsiaTheme="minorEastAsia"/>
          <w:lang w:val="en-US" w:eastAsia="en-US"/>
        </w:rPr>
        <w:t xml:space="preserve"> Results of the analysis indicated that there is a positive difference between the size and growth indicators in each of Ramallah &amp; Al-Bireh and Bethlehem </w:t>
      </w:r>
      <w:r w:rsidR="004F25EC" w:rsidRPr="00D06E51">
        <w:rPr>
          <w:rFonts w:eastAsiaTheme="minorEastAsia"/>
          <w:lang w:val="en-US" w:eastAsia="en-US"/>
        </w:rPr>
        <w:t>g</w:t>
      </w:r>
      <w:r w:rsidRPr="00D06E51">
        <w:rPr>
          <w:rFonts w:eastAsiaTheme="minorEastAsia"/>
          <w:lang w:val="en-US" w:eastAsia="en-US"/>
        </w:rPr>
        <w:t>overnorates due to internal migration to establishments and employees from other West Bank governorates, which requires further studying in order to identify the sources and reasons of this variation accurately. The specification of repercussions on the neighboring governorates in particular, and the Palestinian economy in general.</w:t>
      </w:r>
    </w:p>
    <w:p w:rsidR="00D06E51" w:rsidRPr="00D06E51" w:rsidRDefault="00D06E51" w:rsidP="00D06E51">
      <w:pPr>
        <w:spacing w:line="264" w:lineRule="auto"/>
        <w:jc w:val="both"/>
        <w:rPr>
          <w:rFonts w:eastAsiaTheme="minorEastAsia"/>
          <w:lang w:val="en-US" w:eastAsia="en-US"/>
        </w:rPr>
      </w:pPr>
    </w:p>
    <w:p w:rsidR="00D06E51" w:rsidRPr="00D06E51" w:rsidRDefault="00D06E51" w:rsidP="004F25EC">
      <w:pPr>
        <w:spacing w:line="264" w:lineRule="auto"/>
        <w:jc w:val="both"/>
        <w:rPr>
          <w:rFonts w:eastAsiaTheme="minorEastAsia"/>
          <w:lang w:val="en-US" w:eastAsia="en-US" w:bidi="ar-JO"/>
        </w:rPr>
      </w:pPr>
      <w:r w:rsidRPr="00D06E51">
        <w:rPr>
          <w:rFonts w:eastAsiaTheme="minorEastAsia"/>
          <w:b/>
          <w:bCs/>
          <w:lang w:val="en-US" w:eastAsia="en-US"/>
        </w:rPr>
        <w:t>Fourth:</w:t>
      </w:r>
      <w:r w:rsidRPr="00D06E51">
        <w:rPr>
          <w:rFonts w:eastAsiaTheme="minorEastAsia"/>
          <w:lang w:val="en-US" w:eastAsia="en-US"/>
        </w:rPr>
        <w:t xml:space="preserve"> The occurrence of a decline in the size indicator in Hebron </w:t>
      </w:r>
      <w:r w:rsidR="004F25EC" w:rsidRPr="00D06E51">
        <w:rPr>
          <w:rFonts w:eastAsiaTheme="minorEastAsia"/>
          <w:lang w:val="en-US" w:eastAsia="en-US"/>
        </w:rPr>
        <w:t>g</w:t>
      </w:r>
      <w:r w:rsidRPr="00D06E51">
        <w:rPr>
          <w:rFonts w:eastAsiaTheme="minorEastAsia"/>
          <w:lang w:val="en-US" w:eastAsia="en-US"/>
        </w:rPr>
        <w:t>overnorate, which is first in terms of population size, as the employment indicator fell to the third rank. This may be due to the high fertility rate in the governorate, or because of the lack of accurate disclosure of the number of employees. In all cases, this phenomenon is worth studying to know its causes as well.</w:t>
      </w:r>
    </w:p>
    <w:p w:rsidR="00D06E51" w:rsidRPr="00D06E51" w:rsidRDefault="00D06E51" w:rsidP="004F25EC">
      <w:pPr>
        <w:keepNext/>
        <w:keepLines/>
        <w:jc w:val="both"/>
        <w:outlineLvl w:val="1"/>
        <w:rPr>
          <w:rFonts w:eastAsiaTheme="majorEastAsia"/>
          <w:b/>
          <w:bCs/>
          <w:i/>
          <w:iCs/>
          <w:lang w:val="en-US" w:eastAsia="en-US"/>
        </w:rPr>
      </w:pPr>
      <w:r w:rsidRPr="00D06E51">
        <w:rPr>
          <w:rFonts w:eastAsiaTheme="majorEastAsia"/>
          <w:b/>
          <w:bCs/>
          <w:lang w:val="en-US" w:eastAsia="en-US"/>
        </w:rPr>
        <w:lastRenderedPageBreak/>
        <w:t>7.1 Economic Activities Percentage Share in Total Establishments’ Employees in 2017 and their Percentage Contribution to Employee Growth and its contribution to Value Added Creation in 2012</w:t>
      </w:r>
      <w:r w:rsidR="004F25EC">
        <w:rPr>
          <w:rFonts w:eastAsiaTheme="majorEastAsia"/>
          <w:b/>
          <w:bCs/>
          <w:lang w:val="en-US" w:eastAsia="en-US"/>
        </w:rPr>
        <w:t xml:space="preserve">, </w:t>
      </w:r>
      <w:r w:rsidRPr="00D06E51">
        <w:rPr>
          <w:rFonts w:eastAsiaTheme="majorEastAsia"/>
          <w:b/>
          <w:bCs/>
          <w:lang w:val="en-US" w:eastAsia="en-US"/>
        </w:rPr>
        <w:t>2017:</w:t>
      </w: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Based on the same methodology shown above, the percentage of employment in activities for the year 2017 was used, which reflects the weight of each in the creation of value added (size indicator), and the growth (growth indicator) in employment, which also reflects the role of each activity in increasing employment (growth indicator) to indicate its role in the value added growth, below are the main results.</w:t>
      </w:r>
    </w:p>
    <w:p w:rsidR="00D06E51" w:rsidRPr="00D06E51" w:rsidRDefault="00D06E51" w:rsidP="00D06E51">
      <w:pPr>
        <w:spacing w:line="264" w:lineRule="auto"/>
        <w:contextualSpacing/>
        <w:jc w:val="both"/>
        <w:rPr>
          <w:rFonts w:eastAsiaTheme="minorEastAsia"/>
          <w:lang w:val="en-US" w:eastAsia="en-US"/>
        </w:rPr>
      </w:pPr>
      <w:r w:rsidRPr="00D06E51">
        <w:rPr>
          <w:rFonts w:eastAsiaTheme="minorEastAsia"/>
          <w:b/>
          <w:bCs/>
          <w:lang w:val="en-US" w:eastAsia="en-US"/>
        </w:rPr>
        <w:br/>
        <w:t>The First case:</w:t>
      </w:r>
      <w:r w:rsidRPr="00D06E51">
        <w:rPr>
          <w:rFonts w:eastAsiaTheme="minorEastAsia"/>
          <w:lang w:val="en-US" w:eastAsia="en-US"/>
        </w:rPr>
        <w:t xml:space="preserve"> This is the case of activities where the size indicator is equal to the growth indicator; which was the case in </w:t>
      </w:r>
      <w:r w:rsidRPr="00D06E51">
        <w:rPr>
          <w:rFonts w:eastAsiaTheme="minorEastAsia" w:hint="cs"/>
          <w:rtl/>
          <w:lang w:val="en-US" w:eastAsia="en-US"/>
        </w:rPr>
        <w:t>5</w:t>
      </w:r>
      <w:r w:rsidRPr="00D06E51">
        <w:rPr>
          <w:rFonts w:eastAsiaTheme="minorEastAsia"/>
          <w:lang w:val="en-US" w:eastAsia="en-US"/>
        </w:rPr>
        <w:t xml:space="preserve"> economic activities, where the percentage share of their employees in the total number of employees corresponded to the percentage of their contribution in the total growth of employees. These activities maintained their positions in the creation of value added in the Palestinian Economy during 2012, 2017: Mining and quarrying at 15</w:t>
      </w:r>
      <w:r w:rsidRPr="00D06E51">
        <w:rPr>
          <w:rFonts w:eastAsiaTheme="minorEastAsia"/>
          <w:vertAlign w:val="superscript"/>
          <w:lang w:val="en-US" w:eastAsia="en-US"/>
        </w:rPr>
        <w:t>th</w:t>
      </w:r>
      <w:r w:rsidRPr="00D06E51">
        <w:rPr>
          <w:rFonts w:eastAsiaTheme="minorEastAsia"/>
          <w:lang w:val="en-US" w:eastAsia="en-US"/>
        </w:rPr>
        <w:t xml:space="preserve"> place, electricity and gas supplies at 14</w:t>
      </w:r>
      <w:r w:rsidRPr="00D06E51">
        <w:rPr>
          <w:rFonts w:eastAsiaTheme="minorEastAsia"/>
          <w:vertAlign w:val="superscript"/>
          <w:lang w:val="en-US" w:eastAsia="en-US"/>
        </w:rPr>
        <w:t>th</w:t>
      </w:r>
      <w:r w:rsidRPr="00D06E51">
        <w:rPr>
          <w:rFonts w:eastAsiaTheme="minorEastAsia"/>
          <w:lang w:val="en-US" w:eastAsia="en-US"/>
        </w:rPr>
        <w:t>, water supply and sewerage activities at 18</w:t>
      </w:r>
      <w:r w:rsidRPr="00D06E51">
        <w:rPr>
          <w:rFonts w:eastAsiaTheme="minorEastAsia"/>
          <w:vertAlign w:val="superscript"/>
          <w:lang w:val="en-US" w:eastAsia="en-US"/>
        </w:rPr>
        <w:t>th</w:t>
      </w:r>
      <w:r w:rsidRPr="00D06E51">
        <w:rPr>
          <w:rFonts w:eastAsiaTheme="minorEastAsia"/>
          <w:lang w:val="en-US" w:eastAsia="en-US"/>
        </w:rPr>
        <w:t>, Real estate at 17</w:t>
      </w:r>
      <w:r w:rsidRPr="00D06E51">
        <w:rPr>
          <w:rFonts w:eastAsiaTheme="minorEastAsia"/>
          <w:vertAlign w:val="superscript"/>
          <w:lang w:val="en-US" w:eastAsia="en-US"/>
        </w:rPr>
        <w:t>th</w:t>
      </w:r>
      <w:r w:rsidRPr="00D06E51">
        <w:rPr>
          <w:rFonts w:eastAsiaTheme="minorEastAsia"/>
          <w:lang w:val="en-US" w:eastAsia="en-US"/>
        </w:rPr>
        <w:t>, wholesale and retail trade  at 1</w:t>
      </w:r>
      <w:r w:rsidRPr="00D06E51">
        <w:rPr>
          <w:rFonts w:eastAsiaTheme="minorEastAsia"/>
          <w:vertAlign w:val="superscript"/>
          <w:lang w:val="en-US" w:eastAsia="en-US"/>
        </w:rPr>
        <w:t>st</w:t>
      </w:r>
      <w:r w:rsidRPr="00D06E51">
        <w:rPr>
          <w:rFonts w:eastAsiaTheme="minorEastAsia"/>
          <w:lang w:val="en-US" w:eastAsia="en-US"/>
        </w:rPr>
        <w:t xml:space="preserve">. </w:t>
      </w:r>
    </w:p>
    <w:p w:rsidR="00D06E51" w:rsidRPr="00D06E51" w:rsidRDefault="00D06E51" w:rsidP="00D06E51">
      <w:pPr>
        <w:spacing w:line="264" w:lineRule="auto"/>
        <w:contextualSpacing/>
        <w:jc w:val="both"/>
        <w:rPr>
          <w:rFonts w:eastAsiaTheme="minorEastAsia"/>
          <w:lang w:val="en-US" w:eastAsia="en-US" w:bidi="ar-JO"/>
        </w:rPr>
      </w:pPr>
    </w:p>
    <w:p w:rsidR="00D06E51" w:rsidRPr="00D06E51" w:rsidRDefault="00D06E51" w:rsidP="00D06E51">
      <w:pPr>
        <w:spacing w:line="264" w:lineRule="auto"/>
        <w:jc w:val="both"/>
        <w:rPr>
          <w:rFonts w:eastAsiaTheme="minorEastAsia"/>
          <w:lang w:val="en-US" w:eastAsia="en-US"/>
        </w:rPr>
      </w:pPr>
      <w:r w:rsidRPr="00D06E51">
        <w:rPr>
          <w:rFonts w:eastAsiaTheme="minorEastAsia"/>
          <w:b/>
          <w:bCs/>
          <w:lang w:val="en-US" w:eastAsia="en-US"/>
        </w:rPr>
        <w:t>The Second Case:</w:t>
      </w:r>
      <w:r w:rsidRPr="00D06E51">
        <w:rPr>
          <w:rFonts w:eastAsiaTheme="minorEastAsia"/>
          <w:lang w:val="en-US" w:eastAsia="en-US"/>
        </w:rPr>
        <w:t xml:space="preserve"> The percentage contribution in the employment growth is higher than their percentage share in the total employment in all operating establishments. As a result, these activities recorded improvements in their rankings between 2012 and 2017, which included 10 economic activities: Construction (from the 12</w:t>
      </w:r>
      <w:r w:rsidRPr="00D06E51">
        <w:rPr>
          <w:rFonts w:eastAsiaTheme="minorEastAsia"/>
          <w:vertAlign w:val="superscript"/>
          <w:lang w:val="en-US" w:eastAsia="en-US"/>
        </w:rPr>
        <w:t>th</w:t>
      </w:r>
      <w:r w:rsidRPr="00D06E51">
        <w:rPr>
          <w:rFonts w:eastAsiaTheme="minorEastAsia"/>
          <w:lang w:val="en-US" w:eastAsia="en-US"/>
        </w:rPr>
        <w:t xml:space="preserve">  to the 7</w:t>
      </w:r>
      <w:r w:rsidRPr="00D06E51">
        <w:rPr>
          <w:rFonts w:eastAsiaTheme="minorEastAsia"/>
          <w:vertAlign w:val="superscript"/>
          <w:lang w:val="en-US" w:eastAsia="en-US"/>
        </w:rPr>
        <w:t>th</w:t>
      </w:r>
      <w:r w:rsidRPr="00D06E51">
        <w:rPr>
          <w:rFonts w:eastAsiaTheme="minorEastAsia"/>
          <w:lang w:val="en-US" w:eastAsia="en-US"/>
        </w:rPr>
        <w:t>), transportation &amp; storage (from the 11</w:t>
      </w:r>
      <w:r w:rsidRPr="00D06E51">
        <w:rPr>
          <w:rFonts w:eastAsiaTheme="minorEastAsia"/>
          <w:vertAlign w:val="superscript"/>
          <w:lang w:val="en-US" w:eastAsia="en-US"/>
        </w:rPr>
        <w:t>th</w:t>
      </w:r>
      <w:r w:rsidRPr="00D06E51">
        <w:rPr>
          <w:rFonts w:eastAsiaTheme="minorEastAsia"/>
          <w:lang w:val="en-US" w:eastAsia="en-US"/>
        </w:rPr>
        <w:t xml:space="preserve">  to the 10</w:t>
      </w:r>
      <w:r w:rsidRPr="00D06E51">
        <w:rPr>
          <w:rFonts w:eastAsiaTheme="minorEastAsia"/>
          <w:vertAlign w:val="superscript"/>
          <w:lang w:val="en-US" w:eastAsia="en-US"/>
        </w:rPr>
        <w:t>th</w:t>
      </w:r>
      <w:r w:rsidRPr="00D06E51">
        <w:rPr>
          <w:rFonts w:eastAsiaTheme="minorEastAsia"/>
          <w:lang w:val="en-US" w:eastAsia="en-US"/>
        </w:rPr>
        <w:t>), accommodation &amp; food services (from the 6</w:t>
      </w:r>
      <w:r w:rsidRPr="00D06E51">
        <w:rPr>
          <w:rFonts w:eastAsiaTheme="minorEastAsia"/>
          <w:vertAlign w:val="superscript"/>
          <w:lang w:val="en-US" w:eastAsia="en-US"/>
        </w:rPr>
        <w:t>th</w:t>
      </w:r>
      <w:r w:rsidRPr="00D06E51">
        <w:rPr>
          <w:rFonts w:eastAsiaTheme="minorEastAsia"/>
          <w:lang w:val="en-US" w:eastAsia="en-US"/>
        </w:rPr>
        <w:t xml:space="preserve"> to the 5</w:t>
      </w:r>
      <w:r w:rsidRPr="00D06E51">
        <w:rPr>
          <w:rFonts w:eastAsiaTheme="minorEastAsia"/>
          <w:vertAlign w:val="superscript"/>
          <w:lang w:val="en-US" w:eastAsia="en-US"/>
        </w:rPr>
        <w:t>th</w:t>
      </w:r>
      <w:r w:rsidRPr="00D06E51">
        <w:rPr>
          <w:rFonts w:eastAsiaTheme="minorEastAsia"/>
          <w:lang w:val="en-US" w:eastAsia="en-US"/>
        </w:rPr>
        <w:t>), financial &amp; insurance activities (from the 8</w:t>
      </w:r>
      <w:r w:rsidRPr="00D06E51">
        <w:rPr>
          <w:rFonts w:eastAsiaTheme="minorEastAsia"/>
          <w:vertAlign w:val="superscript"/>
          <w:lang w:val="en-US" w:eastAsia="en-US"/>
        </w:rPr>
        <w:t>th</w:t>
      </w:r>
      <w:r w:rsidRPr="00D06E51">
        <w:rPr>
          <w:rFonts w:eastAsiaTheme="minorEastAsia"/>
          <w:lang w:val="en-US" w:eastAsia="en-US"/>
        </w:rPr>
        <w:t xml:space="preserve"> to the 6</w:t>
      </w:r>
      <w:r w:rsidRPr="00D06E51">
        <w:rPr>
          <w:rFonts w:eastAsiaTheme="minorEastAsia"/>
          <w:vertAlign w:val="superscript"/>
          <w:lang w:val="en-US" w:eastAsia="en-US"/>
        </w:rPr>
        <w:t>th</w:t>
      </w:r>
      <w:r w:rsidRPr="00D06E51">
        <w:rPr>
          <w:rFonts w:eastAsiaTheme="minorEastAsia"/>
          <w:lang w:val="en-US" w:eastAsia="en-US"/>
        </w:rPr>
        <w:t>), public administration &amp; defense (from the 19</w:t>
      </w:r>
      <w:r w:rsidRPr="00D06E51">
        <w:rPr>
          <w:rFonts w:eastAsiaTheme="minorEastAsia"/>
          <w:vertAlign w:val="superscript"/>
          <w:lang w:val="en-US" w:eastAsia="en-US"/>
        </w:rPr>
        <w:t>th</w:t>
      </w:r>
      <w:r w:rsidRPr="00D06E51">
        <w:rPr>
          <w:rFonts w:eastAsiaTheme="minorEastAsia"/>
          <w:lang w:val="en-US" w:eastAsia="en-US"/>
        </w:rPr>
        <w:t xml:space="preserve"> to the 13</w:t>
      </w:r>
      <w:r w:rsidRPr="00D06E51">
        <w:rPr>
          <w:rFonts w:eastAsiaTheme="minorEastAsia"/>
          <w:vertAlign w:val="superscript"/>
          <w:lang w:val="en-US" w:eastAsia="en-US"/>
        </w:rPr>
        <w:t>th</w:t>
      </w:r>
      <w:r w:rsidRPr="00D06E51">
        <w:rPr>
          <w:rFonts w:eastAsiaTheme="minorEastAsia"/>
          <w:lang w:val="en-US" w:eastAsia="en-US"/>
        </w:rPr>
        <w:t>), education (from the 3</w:t>
      </w:r>
      <w:r w:rsidRPr="00D06E51">
        <w:rPr>
          <w:rFonts w:eastAsiaTheme="minorEastAsia"/>
          <w:vertAlign w:val="superscript"/>
          <w:lang w:val="en-US" w:eastAsia="en-US"/>
        </w:rPr>
        <w:t>rd</w:t>
      </w:r>
      <w:r w:rsidRPr="00D06E51">
        <w:rPr>
          <w:rFonts w:eastAsiaTheme="minorEastAsia"/>
          <w:lang w:val="en-US" w:eastAsia="en-US"/>
        </w:rPr>
        <w:t xml:space="preserve"> to the 2</w:t>
      </w:r>
      <w:r w:rsidRPr="00D06E51">
        <w:rPr>
          <w:rFonts w:eastAsiaTheme="minorEastAsia"/>
          <w:vertAlign w:val="superscript"/>
          <w:lang w:val="en-US" w:eastAsia="en-US"/>
        </w:rPr>
        <w:t>nd</w:t>
      </w:r>
      <w:r w:rsidRPr="00D06E51">
        <w:rPr>
          <w:rFonts w:eastAsiaTheme="minorEastAsia"/>
          <w:lang w:val="en-US" w:eastAsia="en-US"/>
        </w:rPr>
        <w:t>), human health &amp; social work (from the 5</w:t>
      </w:r>
      <w:r w:rsidRPr="00D06E51">
        <w:rPr>
          <w:rFonts w:eastAsiaTheme="minorEastAsia"/>
          <w:vertAlign w:val="superscript"/>
          <w:lang w:val="en-US" w:eastAsia="en-US"/>
        </w:rPr>
        <w:t>th</w:t>
      </w:r>
      <w:r w:rsidRPr="00D06E51">
        <w:rPr>
          <w:rFonts w:eastAsiaTheme="minorEastAsia"/>
          <w:lang w:val="en-US" w:eastAsia="en-US"/>
        </w:rPr>
        <w:t xml:space="preserve"> to the 3</w:t>
      </w:r>
      <w:r w:rsidRPr="00D06E51">
        <w:rPr>
          <w:rFonts w:eastAsiaTheme="minorEastAsia"/>
          <w:vertAlign w:val="superscript"/>
          <w:lang w:val="en-US" w:eastAsia="en-US"/>
        </w:rPr>
        <w:t>rd</w:t>
      </w:r>
      <w:r w:rsidRPr="00D06E51">
        <w:rPr>
          <w:rFonts w:eastAsiaTheme="minorEastAsia"/>
          <w:lang w:val="en-US" w:eastAsia="en-US"/>
        </w:rPr>
        <w:t>), arts, entertainment &amp; recreation activities (from the 10</w:t>
      </w:r>
      <w:r w:rsidRPr="00D06E51">
        <w:rPr>
          <w:rFonts w:eastAsiaTheme="minorEastAsia"/>
          <w:vertAlign w:val="superscript"/>
          <w:lang w:val="en-US" w:eastAsia="en-US"/>
        </w:rPr>
        <w:t>th</w:t>
      </w:r>
      <w:r w:rsidRPr="00D06E51">
        <w:rPr>
          <w:rFonts w:eastAsiaTheme="minorEastAsia"/>
          <w:lang w:val="en-US" w:eastAsia="en-US"/>
        </w:rPr>
        <w:t xml:space="preserve">  to the 8</w:t>
      </w:r>
      <w:r w:rsidRPr="00D06E51">
        <w:rPr>
          <w:rFonts w:eastAsiaTheme="minorEastAsia"/>
          <w:vertAlign w:val="superscript"/>
          <w:lang w:val="en-US" w:eastAsia="en-US"/>
        </w:rPr>
        <w:t>th</w:t>
      </w:r>
      <w:r w:rsidRPr="00D06E51">
        <w:rPr>
          <w:rFonts w:eastAsiaTheme="minorEastAsia"/>
          <w:lang w:val="en-US" w:eastAsia="en-US"/>
        </w:rPr>
        <w:t>), households activities (from 20</w:t>
      </w:r>
      <w:r w:rsidRPr="00D06E51">
        <w:rPr>
          <w:rFonts w:eastAsiaTheme="minorEastAsia"/>
          <w:vertAlign w:val="superscript"/>
          <w:lang w:val="en-US" w:eastAsia="en-US"/>
        </w:rPr>
        <w:t>th</w:t>
      </w:r>
      <w:r w:rsidRPr="00D06E51">
        <w:rPr>
          <w:rFonts w:eastAsiaTheme="minorEastAsia"/>
          <w:lang w:val="en-US" w:eastAsia="en-US"/>
        </w:rPr>
        <w:t xml:space="preserve"> to the 19</w:t>
      </w:r>
      <w:r w:rsidRPr="00D06E51">
        <w:rPr>
          <w:rFonts w:eastAsiaTheme="minorEastAsia"/>
          <w:vertAlign w:val="superscript"/>
          <w:lang w:val="en-US" w:eastAsia="en-US"/>
        </w:rPr>
        <w:t>th</w:t>
      </w:r>
      <w:r w:rsidRPr="00D06E51">
        <w:rPr>
          <w:rFonts w:eastAsiaTheme="minorEastAsia"/>
          <w:lang w:val="en-US" w:eastAsia="en-US"/>
        </w:rPr>
        <w:t>) and activities of extraterritorial organizations and bodies (from the 16</w:t>
      </w:r>
      <w:r w:rsidRPr="00D06E51">
        <w:rPr>
          <w:rFonts w:eastAsiaTheme="minorEastAsia"/>
          <w:vertAlign w:val="superscript"/>
          <w:lang w:val="en-US" w:eastAsia="en-US"/>
        </w:rPr>
        <w:t>th</w:t>
      </w:r>
      <w:r w:rsidRPr="00D06E51">
        <w:rPr>
          <w:rFonts w:eastAsiaTheme="minorEastAsia"/>
          <w:lang w:val="en-US" w:eastAsia="en-US"/>
        </w:rPr>
        <w:t xml:space="preserve"> to the 11</w:t>
      </w:r>
      <w:r w:rsidRPr="00D06E51">
        <w:rPr>
          <w:rFonts w:eastAsiaTheme="minorEastAsia"/>
          <w:vertAlign w:val="superscript"/>
          <w:lang w:val="en-US" w:eastAsia="en-US"/>
        </w:rPr>
        <w:t>th</w:t>
      </w:r>
      <w:r w:rsidRPr="00D06E51">
        <w:rPr>
          <w:rFonts w:eastAsiaTheme="minorEastAsia"/>
          <w:lang w:val="en-US" w:eastAsia="en-US"/>
        </w:rPr>
        <w:t>).</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spacing w:line="264" w:lineRule="auto"/>
        <w:jc w:val="both"/>
        <w:rPr>
          <w:rFonts w:eastAsiaTheme="minorEastAsia"/>
          <w:rtl/>
          <w:lang w:val="en-US" w:eastAsia="en-US"/>
        </w:rPr>
      </w:pPr>
      <w:r w:rsidRPr="00D06E51">
        <w:rPr>
          <w:rFonts w:eastAsiaTheme="minorEastAsia"/>
          <w:b/>
          <w:bCs/>
          <w:lang w:val="en-US" w:eastAsia="en-US"/>
        </w:rPr>
        <w:t>The Third case:</w:t>
      </w:r>
      <w:r w:rsidRPr="00D06E51">
        <w:rPr>
          <w:rFonts w:eastAsiaTheme="minorEastAsia"/>
          <w:lang w:val="en-US" w:eastAsia="en-US"/>
        </w:rPr>
        <w:t xml:space="preserve"> In the rest of the activities, the growth rate in the number of employees was lower than the share of those employees in the total number of employees in all operating establishments, so such activities witnessed deterioration in their value added contribution ranking as follows: Manufacturing (from the 2</w:t>
      </w:r>
      <w:r w:rsidRPr="00D06E51">
        <w:rPr>
          <w:rFonts w:eastAsiaTheme="minorEastAsia"/>
          <w:vertAlign w:val="superscript"/>
          <w:lang w:val="en-US" w:eastAsia="en-US"/>
        </w:rPr>
        <w:t>nd</w:t>
      </w:r>
      <w:r w:rsidRPr="00D06E51">
        <w:rPr>
          <w:rFonts w:eastAsiaTheme="minorEastAsia"/>
          <w:lang w:val="en-US" w:eastAsia="en-US"/>
        </w:rPr>
        <w:t xml:space="preserve"> to the 4</w:t>
      </w:r>
      <w:r w:rsidRPr="00D06E51">
        <w:rPr>
          <w:rFonts w:eastAsiaTheme="minorEastAsia"/>
          <w:vertAlign w:val="superscript"/>
          <w:lang w:val="en-US" w:eastAsia="en-US"/>
        </w:rPr>
        <w:t>th</w:t>
      </w:r>
      <w:r w:rsidRPr="00D06E51">
        <w:rPr>
          <w:rFonts w:eastAsiaTheme="minorEastAsia"/>
          <w:lang w:val="en-US" w:eastAsia="en-US"/>
        </w:rPr>
        <w:t>), ICT (from the 9</w:t>
      </w:r>
      <w:r w:rsidRPr="00D06E51">
        <w:rPr>
          <w:rFonts w:eastAsiaTheme="minorEastAsia"/>
          <w:vertAlign w:val="superscript"/>
          <w:lang w:val="en-US" w:eastAsia="en-US"/>
        </w:rPr>
        <w:t>th</w:t>
      </w:r>
      <w:r w:rsidRPr="00D06E51">
        <w:rPr>
          <w:rFonts w:eastAsiaTheme="minorEastAsia"/>
          <w:lang w:val="en-US" w:eastAsia="en-US"/>
        </w:rPr>
        <w:t xml:space="preserve"> to the 12</w:t>
      </w:r>
      <w:r w:rsidRPr="00D06E51">
        <w:rPr>
          <w:rFonts w:eastAsiaTheme="minorEastAsia"/>
          <w:vertAlign w:val="superscript"/>
          <w:lang w:val="en-US" w:eastAsia="en-US"/>
        </w:rPr>
        <w:t>th</w:t>
      </w:r>
      <w:r w:rsidRPr="00D06E51">
        <w:rPr>
          <w:rFonts w:eastAsiaTheme="minorEastAsia"/>
          <w:lang w:val="en-US" w:eastAsia="en-US"/>
        </w:rPr>
        <w:t>), professional &amp; scientific activities (from the 7</w:t>
      </w:r>
      <w:r w:rsidRPr="00D06E51">
        <w:rPr>
          <w:rFonts w:eastAsiaTheme="minorEastAsia"/>
          <w:vertAlign w:val="superscript"/>
          <w:lang w:val="en-US" w:eastAsia="en-US"/>
        </w:rPr>
        <w:t>th</w:t>
      </w:r>
      <w:r w:rsidRPr="00D06E51">
        <w:rPr>
          <w:rFonts w:eastAsiaTheme="minorEastAsia"/>
          <w:lang w:val="en-US" w:eastAsia="en-US"/>
        </w:rPr>
        <w:t xml:space="preserve"> to the 9</w:t>
      </w:r>
      <w:r w:rsidRPr="00D06E51">
        <w:rPr>
          <w:rFonts w:eastAsiaTheme="minorEastAsia"/>
          <w:vertAlign w:val="superscript"/>
          <w:lang w:val="en-US" w:eastAsia="en-US"/>
        </w:rPr>
        <w:t>th</w:t>
      </w:r>
      <w:r w:rsidRPr="00D06E51">
        <w:rPr>
          <w:rFonts w:eastAsiaTheme="minorEastAsia"/>
          <w:lang w:val="en-US" w:eastAsia="en-US"/>
        </w:rPr>
        <w:t>), administrative and support services (from the 13</w:t>
      </w:r>
      <w:r w:rsidRPr="00D06E51">
        <w:rPr>
          <w:rFonts w:eastAsiaTheme="minorEastAsia"/>
          <w:vertAlign w:val="superscript"/>
          <w:lang w:val="en-US" w:eastAsia="en-US"/>
        </w:rPr>
        <w:t>th</w:t>
      </w:r>
      <w:r w:rsidRPr="00D06E51">
        <w:rPr>
          <w:rFonts w:eastAsiaTheme="minorEastAsia"/>
          <w:lang w:val="en-US" w:eastAsia="en-US"/>
        </w:rPr>
        <w:t xml:space="preserve"> to the 16</w:t>
      </w:r>
      <w:r w:rsidRPr="00D06E51">
        <w:rPr>
          <w:rFonts w:eastAsiaTheme="minorEastAsia"/>
          <w:vertAlign w:val="superscript"/>
          <w:lang w:val="en-US" w:eastAsia="en-US"/>
        </w:rPr>
        <w:t>th</w:t>
      </w:r>
      <w:r w:rsidRPr="00D06E51">
        <w:rPr>
          <w:rFonts w:eastAsiaTheme="minorEastAsia"/>
          <w:lang w:val="en-US" w:eastAsia="en-US"/>
        </w:rPr>
        <w:t>) and other services (from the 4</w:t>
      </w:r>
      <w:r w:rsidRPr="00D06E51">
        <w:rPr>
          <w:rFonts w:eastAsiaTheme="minorEastAsia"/>
          <w:vertAlign w:val="superscript"/>
          <w:lang w:val="en-US" w:eastAsia="en-US"/>
        </w:rPr>
        <w:t>th</w:t>
      </w:r>
      <w:r w:rsidRPr="00D06E51">
        <w:rPr>
          <w:rFonts w:eastAsiaTheme="minorEastAsia"/>
          <w:lang w:val="en-US" w:eastAsia="en-US"/>
        </w:rPr>
        <w:t xml:space="preserve"> to the 20</w:t>
      </w:r>
      <w:r w:rsidRPr="00D06E51">
        <w:rPr>
          <w:rFonts w:eastAsiaTheme="minorEastAsia"/>
          <w:vertAlign w:val="superscript"/>
          <w:lang w:val="en-US" w:eastAsia="en-US"/>
        </w:rPr>
        <w:t>th</w:t>
      </w:r>
      <w:r w:rsidRPr="00D06E51">
        <w:rPr>
          <w:rFonts w:eastAsiaTheme="minorEastAsia"/>
          <w:lang w:val="en-US" w:eastAsia="en-US"/>
        </w:rPr>
        <w:t>).</w:t>
      </w:r>
    </w:p>
    <w:p w:rsidR="00D06E51" w:rsidRPr="00D06E51" w:rsidRDefault="00D06E51" w:rsidP="00D06E51">
      <w:pPr>
        <w:spacing w:line="264" w:lineRule="auto"/>
        <w:jc w:val="both"/>
        <w:rPr>
          <w:rFonts w:eastAsiaTheme="minorEastAsia"/>
          <w:rtl/>
          <w:lang w:val="en-US" w:eastAsia="en-US"/>
        </w:rPr>
      </w:pP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 xml:space="preserve">Here, we would like to point out the need to differentiate between </w:t>
      </w:r>
      <w:bookmarkStart w:id="16" w:name="_Hlk38802786"/>
      <w:r w:rsidRPr="00D06E51">
        <w:rPr>
          <w:rFonts w:eastAsiaTheme="minorEastAsia"/>
          <w:lang w:val="en-US" w:eastAsia="en-US"/>
        </w:rPr>
        <w:t>large economic activities</w:t>
      </w:r>
      <w:bookmarkEnd w:id="16"/>
      <w:r w:rsidRPr="00D06E51">
        <w:rPr>
          <w:rFonts w:eastAsiaTheme="minorEastAsia"/>
          <w:lang w:val="en-US" w:eastAsia="en-US"/>
        </w:rPr>
        <w:t>, in which a large number of employees are concentrated, and small economic activities with a small number of employees, when analyzing its transition from one rank to another. In large establishments, the change in the size and growth indicators carry a strong and sustainable indication of the trends of its up or down development, which does not apply to small establishments, because the change in the number of employees there may be accidental and for exceptional and unsustainable reasons.</w:t>
      </w:r>
    </w:p>
    <w:p w:rsidR="00D06E51" w:rsidRPr="00D06E51" w:rsidRDefault="00D06E51" w:rsidP="00D06E51">
      <w:pPr>
        <w:spacing w:line="264" w:lineRule="auto"/>
        <w:jc w:val="both"/>
        <w:rPr>
          <w:rFonts w:eastAsiaTheme="minorEastAsia"/>
          <w:lang w:val="en-US" w:eastAsia="en-US"/>
        </w:rPr>
      </w:pPr>
      <w:r w:rsidRPr="00D06E51">
        <w:rPr>
          <w:rFonts w:eastAsiaTheme="minorEastAsia"/>
          <w:lang w:val="en-US" w:eastAsia="en-US"/>
        </w:rPr>
        <w:t>In addition to the above, some important results regarding the change in the number of employees can be summarized as follows</w:t>
      </w:r>
    </w:p>
    <w:p w:rsidR="00D06E51" w:rsidRPr="00D06E51" w:rsidRDefault="00D06E51" w:rsidP="00D06E51">
      <w:pPr>
        <w:spacing w:line="264" w:lineRule="auto"/>
        <w:jc w:val="both"/>
        <w:rPr>
          <w:rFonts w:eastAsiaTheme="minorEastAsia"/>
          <w:lang w:val="en-US" w:eastAsia="en-US"/>
        </w:rPr>
      </w:pPr>
    </w:p>
    <w:p w:rsidR="00D06E51" w:rsidRPr="00D06E51" w:rsidRDefault="00D06E51" w:rsidP="00D06E51">
      <w:pPr>
        <w:numPr>
          <w:ilvl w:val="0"/>
          <w:numId w:val="29"/>
        </w:numPr>
        <w:spacing w:line="264" w:lineRule="auto"/>
        <w:jc w:val="both"/>
        <w:rPr>
          <w:rFonts w:eastAsiaTheme="minorEastAsia"/>
          <w:lang w:val="en-US" w:eastAsia="en-US"/>
        </w:rPr>
      </w:pPr>
      <w:r w:rsidRPr="00D06E51">
        <w:rPr>
          <w:rFonts w:eastAsiaTheme="minorEastAsia"/>
          <w:lang w:val="en-US" w:eastAsia="en-US"/>
        </w:rPr>
        <w:t>Inflated economic activities (as they ranked first across all indicators that have to do with activities size and growth at the national, regional and governorate levels).</w:t>
      </w:r>
    </w:p>
    <w:p w:rsidR="00D06E51" w:rsidRPr="00D06E51" w:rsidRDefault="00D06E51" w:rsidP="00D06E51">
      <w:pPr>
        <w:numPr>
          <w:ilvl w:val="0"/>
          <w:numId w:val="29"/>
        </w:numPr>
        <w:spacing w:line="264" w:lineRule="auto"/>
        <w:jc w:val="both"/>
        <w:rPr>
          <w:rFonts w:eastAsiaTheme="minorEastAsia"/>
          <w:lang w:val="en-US" w:eastAsia="en-US"/>
        </w:rPr>
      </w:pPr>
      <w:r w:rsidRPr="00D06E51">
        <w:rPr>
          <w:rFonts w:eastAsiaTheme="minorEastAsia"/>
          <w:lang w:val="en-US" w:eastAsia="en-US"/>
        </w:rPr>
        <w:lastRenderedPageBreak/>
        <w:t>The governorates of Ramallah &amp; Al-Bireh and Bethlehem reported the best performance results, as demonstrated by their contribution to employment and employment growth, with numbers higher than the percentage of their population in the total population of the country.</w:t>
      </w:r>
    </w:p>
    <w:p w:rsidR="00D06E51" w:rsidRPr="00D06E51" w:rsidRDefault="00D06E51" w:rsidP="00D06E51">
      <w:pPr>
        <w:numPr>
          <w:ilvl w:val="0"/>
          <w:numId w:val="29"/>
        </w:numPr>
        <w:spacing w:line="264" w:lineRule="auto"/>
        <w:jc w:val="both"/>
        <w:rPr>
          <w:rFonts w:eastAsiaTheme="minorEastAsia"/>
          <w:rtl/>
          <w:lang w:val="en-US" w:eastAsia="en-US"/>
        </w:rPr>
      </w:pPr>
      <w:r w:rsidRPr="00D06E51">
        <w:rPr>
          <w:rFonts w:eastAsiaTheme="minorEastAsia"/>
          <w:lang w:val="en-US" w:eastAsia="en-US"/>
        </w:rPr>
        <w:t>Household activities continued to wane, while NGO, social economy and cooperative activities weakened, despite their relatively high employment;</w:t>
      </w:r>
    </w:p>
    <w:p w:rsidR="00D06E51" w:rsidRPr="00D06E51" w:rsidRDefault="00D06E51" w:rsidP="004F25EC">
      <w:pPr>
        <w:numPr>
          <w:ilvl w:val="0"/>
          <w:numId w:val="29"/>
        </w:numPr>
        <w:spacing w:line="264" w:lineRule="auto"/>
        <w:jc w:val="both"/>
        <w:rPr>
          <w:rFonts w:eastAsiaTheme="minorEastAsia"/>
          <w:rtl/>
          <w:lang w:val="en-US" w:eastAsia="en-US"/>
        </w:rPr>
      </w:pPr>
      <w:r w:rsidRPr="00D06E51">
        <w:rPr>
          <w:rFonts w:eastAsiaTheme="minorEastAsia"/>
          <w:lang w:val="en-US" w:eastAsia="en-US"/>
        </w:rPr>
        <w:t xml:space="preserve">Jerusalem </w:t>
      </w:r>
      <w:r w:rsidR="004F25EC" w:rsidRPr="00D06E51">
        <w:rPr>
          <w:rFonts w:eastAsiaTheme="minorEastAsia"/>
          <w:lang w:val="en-US" w:eastAsia="en-US"/>
        </w:rPr>
        <w:t>g</w:t>
      </w:r>
      <w:r w:rsidRPr="00D06E51">
        <w:rPr>
          <w:rFonts w:eastAsiaTheme="minorEastAsia"/>
          <w:lang w:val="en-US" w:eastAsia="en-US"/>
        </w:rPr>
        <w:t>overnorate economic situation is far below its potentials due to Israeli policies and practices. Its share in employment is low and decreasing, suggesting a continuous decline in its role, relative to its size, sources and status;</w:t>
      </w:r>
    </w:p>
    <w:p w:rsidR="00D06E51" w:rsidRPr="00D06E51" w:rsidRDefault="00D06E51" w:rsidP="004F25EC">
      <w:pPr>
        <w:numPr>
          <w:ilvl w:val="0"/>
          <w:numId w:val="29"/>
        </w:numPr>
        <w:spacing w:line="264" w:lineRule="auto"/>
        <w:jc w:val="both"/>
        <w:rPr>
          <w:rFonts w:eastAsiaTheme="minorEastAsia"/>
          <w:lang w:val="en-US" w:eastAsia="en-US"/>
        </w:rPr>
      </w:pPr>
      <w:r w:rsidRPr="00D06E51">
        <w:rPr>
          <w:rFonts w:eastAsiaTheme="minorEastAsia"/>
          <w:lang w:val="en-US" w:eastAsia="en-US"/>
        </w:rPr>
        <w:t xml:space="preserve">Data indicated a decline in the percentage of Nablus </w:t>
      </w:r>
      <w:r w:rsidR="004F25EC" w:rsidRPr="00D06E51">
        <w:rPr>
          <w:rFonts w:eastAsiaTheme="minorEastAsia"/>
          <w:lang w:val="en-US" w:eastAsia="en-US"/>
        </w:rPr>
        <w:t>g</w:t>
      </w:r>
      <w:r w:rsidRPr="00D06E51">
        <w:rPr>
          <w:rFonts w:eastAsiaTheme="minorEastAsia"/>
          <w:lang w:val="en-US" w:eastAsia="en-US"/>
        </w:rPr>
        <w:t xml:space="preserve">overnorate contribution to total employment, despite its known role in leading economic activity alongside Hebron </w:t>
      </w:r>
      <w:r w:rsidR="004F25EC" w:rsidRPr="00D06E51">
        <w:rPr>
          <w:rFonts w:eastAsiaTheme="minorEastAsia"/>
          <w:lang w:val="en-US" w:eastAsia="en-US"/>
        </w:rPr>
        <w:t>g</w:t>
      </w:r>
      <w:r w:rsidRPr="00D06E51">
        <w:rPr>
          <w:rFonts w:eastAsiaTheme="minorEastAsia"/>
          <w:lang w:val="en-US" w:eastAsia="en-US"/>
        </w:rPr>
        <w:t>overnorate</w:t>
      </w:r>
      <w:r w:rsidRPr="00D06E51">
        <w:rPr>
          <w:rFonts w:eastAsiaTheme="minorEastAsia"/>
          <w:rtl/>
          <w:lang w:val="en-US" w:eastAsia="en-US"/>
        </w:rPr>
        <w:t>.</w:t>
      </w:r>
    </w:p>
    <w:p w:rsidR="0032673A" w:rsidRPr="00D06E51" w:rsidRDefault="0032673A" w:rsidP="00D06E51">
      <w:pPr>
        <w:pStyle w:val="BodyTextIndent"/>
        <w:spacing w:after="0"/>
        <w:jc w:val="both"/>
        <w:rPr>
          <w:rtl/>
          <w:lang w:val="en-US"/>
        </w:rPr>
      </w:pPr>
    </w:p>
    <w:p w:rsidR="0032673A" w:rsidRPr="00D06E51" w:rsidRDefault="0032673A" w:rsidP="00D06E51">
      <w:pPr>
        <w:ind w:left="29"/>
        <w:jc w:val="both"/>
        <w:rPr>
          <w:rtl/>
        </w:rPr>
      </w:pPr>
    </w:p>
    <w:p w:rsidR="0032673A" w:rsidRPr="00D06E51" w:rsidRDefault="0032673A" w:rsidP="00D06E51">
      <w:pPr>
        <w:bidi/>
        <w:jc w:val="both"/>
        <w:rPr>
          <w:rtl/>
          <w:lang w:val="en-US" w:bidi="ar-JO"/>
        </w:rPr>
      </w:pPr>
    </w:p>
    <w:p w:rsidR="0032673A" w:rsidRPr="00D06E51" w:rsidRDefault="0032673A" w:rsidP="00D06E51">
      <w:pPr>
        <w:bidi/>
        <w:jc w:val="both"/>
        <w:rPr>
          <w:lang w:val="en-US"/>
        </w:rPr>
      </w:pPr>
    </w:p>
    <w:p w:rsidR="00E4430E" w:rsidRPr="00D06E51" w:rsidRDefault="00E4430E" w:rsidP="00D06E51">
      <w:pPr>
        <w:bidi/>
        <w:jc w:val="both"/>
        <w:rPr>
          <w:rFonts w:ascii="Calibri" w:hAnsi="Calibri" w:cs="Simplified Arabic"/>
          <w:lang w:val="en-US"/>
        </w:rPr>
      </w:pPr>
    </w:p>
    <w:sectPr w:rsidR="00E4430E" w:rsidRPr="00D06E51" w:rsidSect="00276AB9">
      <w:headerReference w:type="default" r:id="rId15"/>
      <w:footerReference w:type="defaul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233" w:rsidRDefault="00DF6233" w:rsidP="008B0C51">
      <w:r>
        <w:separator/>
      </w:r>
    </w:p>
  </w:endnote>
  <w:endnote w:type="continuationSeparator" w:id="0">
    <w:p w:rsidR="00DF6233" w:rsidRDefault="00DF6233" w:rsidP="008B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10022FF" w:usb1="C000E47F" w:usb2="00000029" w:usb3="00000000" w:csb0="000001DF" w:csb1="00000000"/>
  </w:font>
  <w:font w:name="Traditional Arabic">
    <w:altName w:val="Adobe Arabic"/>
    <w:panose1 w:val="02020603050405020304"/>
    <w:charset w:val="00"/>
    <w:family w:val="roman"/>
    <w:pitch w:val="variable"/>
    <w:sig w:usb0="00000000" w:usb1="80000000" w:usb2="00000008" w:usb3="00000000" w:csb0="00000041" w:csb1="00000000"/>
  </w:font>
  <w:font w:name="DroidArabicKufi">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34E" w:rsidRDefault="0001334E" w:rsidP="00523C62">
    <w:pPr>
      <w:pStyle w:val="Footer"/>
    </w:pPr>
  </w:p>
  <w:p w:rsidR="0001334E" w:rsidRDefault="00013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233" w:rsidRDefault="00DF6233" w:rsidP="008B0C51">
      <w:r>
        <w:separator/>
      </w:r>
    </w:p>
  </w:footnote>
  <w:footnote w:type="continuationSeparator" w:id="0">
    <w:p w:rsidR="00DF6233" w:rsidRDefault="00DF6233" w:rsidP="008B0C51">
      <w:r>
        <w:continuationSeparator/>
      </w:r>
    </w:p>
  </w:footnote>
  <w:footnote w:id="1">
    <w:p w:rsidR="00D06E51" w:rsidRPr="00E22C45" w:rsidRDefault="00D06E51" w:rsidP="00D06E51">
      <w:pPr>
        <w:pStyle w:val="FootnoteText"/>
      </w:pPr>
      <w:r>
        <w:rPr>
          <w:rStyle w:val="FootnoteReference"/>
        </w:rPr>
        <w:footnoteRef/>
      </w:r>
      <w:r>
        <w:t xml:space="preserve"> </w:t>
      </w:r>
      <w:r>
        <w:rPr>
          <w:rFonts w:hint="cs"/>
          <w:rtl/>
        </w:rPr>
        <w:t xml:space="preserve"> </w:t>
      </w:r>
      <w:r>
        <w:t>Palestinian Central Bureau of Statistics, 2018.  Population, Housing and Establishments Census 2017, Final Results Establishment Report 2018, page 6.</w:t>
      </w:r>
    </w:p>
  </w:footnote>
  <w:footnote w:id="2">
    <w:p w:rsidR="00D06E51" w:rsidRDefault="00D06E51" w:rsidP="00D06E51">
      <w:pPr>
        <w:pStyle w:val="FootnoteText"/>
      </w:pPr>
      <w:r>
        <w:rPr>
          <w:rStyle w:val="FootnoteReference"/>
        </w:rPr>
        <w:footnoteRef/>
      </w:r>
      <w:r>
        <w:t xml:space="preserve"> The same previous source, page 21.</w:t>
      </w:r>
    </w:p>
    <w:p w:rsidR="00D06E51" w:rsidRPr="00E22C45" w:rsidRDefault="00D06E51" w:rsidP="00D06E51">
      <w:pPr>
        <w:pStyle w:val="FootnoteText"/>
      </w:pPr>
    </w:p>
  </w:footnote>
  <w:footnote w:id="3">
    <w:p w:rsidR="00D06E51" w:rsidRPr="00E675A1" w:rsidRDefault="00D06E51" w:rsidP="00D06E51">
      <w:pPr>
        <w:pStyle w:val="FootnoteText"/>
        <w:tabs>
          <w:tab w:val="left" w:pos="659"/>
        </w:tabs>
        <w:rPr>
          <w:rFonts w:cs="Simplified Arabic"/>
          <w:rtl/>
        </w:rPr>
      </w:pPr>
      <w:r w:rsidRPr="00873DD8">
        <w:rPr>
          <w:rStyle w:val="FootnoteReference"/>
          <w:rFonts w:cs="Simplified Arabic"/>
        </w:rPr>
        <w:footnoteRef/>
      </w:r>
      <w:r w:rsidRPr="00873DD8">
        <w:rPr>
          <w:rFonts w:cs="Simplified Arabic"/>
        </w:rPr>
        <w:t xml:space="preserve"> </w:t>
      </w:r>
      <w:r>
        <w:rPr>
          <w:rFonts w:cs="Simplified Arabic"/>
        </w:rPr>
        <w:t>Palestinian Central Bureau of Statistic, Establishments Census 2017, page 27.</w:t>
      </w:r>
    </w:p>
  </w:footnote>
  <w:footnote w:id="4">
    <w:p w:rsidR="00D06E51" w:rsidRPr="001E0C8D" w:rsidRDefault="00D06E51" w:rsidP="00D06E51">
      <w:pPr>
        <w:pStyle w:val="FootnoteText"/>
      </w:pPr>
      <w:r>
        <w:rPr>
          <w:rStyle w:val="FootnoteReference"/>
        </w:rPr>
        <w:footnoteRef/>
      </w:r>
      <w:r>
        <w:rPr>
          <w:rFonts w:hint="cs"/>
          <w:rtl/>
        </w:rPr>
        <w:t xml:space="preserve"> </w:t>
      </w:r>
      <w:r>
        <w:rPr>
          <w:rStyle w:val="tlid-translation"/>
        </w:rPr>
        <w:t>Due to the difference in fertility rates (with Gaza reporting higher population growth compared to the West Bank).</w:t>
      </w:r>
    </w:p>
    <w:p w:rsidR="00D06E51" w:rsidRDefault="00D06E51" w:rsidP="00D06E51">
      <w:pPr>
        <w:pStyle w:val="FootnoteText"/>
        <w:bidi/>
        <w:rPr>
          <w:rtl/>
          <w:lang w:bidi="ar-JO"/>
        </w:rPr>
      </w:pPr>
    </w:p>
  </w:footnote>
  <w:footnote w:id="5">
    <w:p w:rsidR="00D06E51" w:rsidRPr="00353A93" w:rsidRDefault="00D06E51" w:rsidP="00D06E51">
      <w:pPr>
        <w:jc w:val="both"/>
        <w:rPr>
          <w:sz w:val="18"/>
          <w:szCs w:val="18"/>
          <w:rtl/>
        </w:rPr>
      </w:pPr>
      <w:r w:rsidRPr="00353A93">
        <w:rPr>
          <w:rStyle w:val="FootnoteReference"/>
          <w:sz w:val="18"/>
          <w:szCs w:val="18"/>
        </w:rPr>
        <w:footnoteRef/>
      </w:r>
      <w:r>
        <w:rPr>
          <w:sz w:val="18"/>
          <w:szCs w:val="18"/>
        </w:rPr>
        <w:t xml:space="preserve"> </w:t>
      </w:r>
      <w:r w:rsidRPr="00353A93">
        <w:rPr>
          <w:sz w:val="18"/>
          <w:szCs w:val="18"/>
          <w:lang w:bidi="ar-JO"/>
        </w:rPr>
        <w:t>This logical assumption provides a basis for comparison between the value</w:t>
      </w:r>
      <w:r>
        <w:rPr>
          <w:sz w:val="18"/>
          <w:szCs w:val="18"/>
          <w:lang w:bidi="ar-JO"/>
        </w:rPr>
        <w:t xml:space="preserve"> </w:t>
      </w:r>
      <w:r w:rsidRPr="00353A93">
        <w:rPr>
          <w:sz w:val="18"/>
          <w:szCs w:val="18"/>
          <w:lang w:bidi="ar-JO"/>
        </w:rPr>
        <w:t xml:space="preserve">added generation capacity in the governorates measured by the second indicator (percentage number of employees in establishments out of the total number of employees in the operating establishments in Palestine), and its contribution to increasing the number of </w:t>
      </w:r>
      <w:bookmarkStart w:id="15" w:name="_Hlk38723937"/>
      <w:r w:rsidRPr="00353A93">
        <w:rPr>
          <w:sz w:val="18"/>
          <w:szCs w:val="18"/>
          <w:lang w:bidi="ar-JO"/>
        </w:rPr>
        <w:t xml:space="preserve">employees </w:t>
      </w:r>
      <w:bookmarkEnd w:id="15"/>
      <w:r w:rsidRPr="00353A93">
        <w:rPr>
          <w:sz w:val="18"/>
          <w:szCs w:val="18"/>
          <w:lang w:bidi="ar-JO"/>
        </w:rPr>
        <w:t xml:space="preserve">in its establishments to the total increase in the number of employees in all operating </w:t>
      </w:r>
      <w:r>
        <w:rPr>
          <w:sz w:val="18"/>
          <w:szCs w:val="18"/>
          <w:lang w:bidi="ar-JO"/>
        </w:rPr>
        <w:t>e</w:t>
      </w:r>
      <w:r w:rsidRPr="00353A93">
        <w:rPr>
          <w:sz w:val="18"/>
          <w:szCs w:val="18"/>
          <w:lang w:bidi="ar-JO"/>
        </w:rPr>
        <w:t>stablishments during the period 2012-2017. As for the indicator, percentage of population by governorate, it is used as a basis for arranging the indicators of employment size and growth in the various governorates to indicate the rates of their contributions to the formation of the gross domestic product and the growth rates of this output</w:t>
      </w:r>
      <w:r w:rsidRPr="00353A93">
        <w:rPr>
          <w:sz w:val="18"/>
          <w:szCs w:val="18"/>
          <w:rtl/>
          <w:lang w:bidi="ar-J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34E" w:rsidRPr="00934BA5" w:rsidRDefault="0001334E" w:rsidP="00E84F3C">
    <w:pPr>
      <w:pStyle w:val="HTMLPreformatted"/>
      <w:spacing w:line="180" w:lineRule="atLeast"/>
      <w:rPr>
        <w:rFonts w:ascii="Times New Roman" w:hAnsi="Times New Roman"/>
        <w:sz w:val="16"/>
        <w:szCs w:val="16"/>
        <w:lang w:val="en-US" w:eastAsia="fr-FR"/>
      </w:rPr>
    </w:pPr>
    <w:r w:rsidRPr="009E152C">
      <w:rPr>
        <w:rFonts w:ascii="Arial" w:hAnsi="Arial" w:cs="Arial"/>
        <w:sz w:val="16"/>
        <w:szCs w:val="16"/>
      </w:rPr>
      <w:t xml:space="preserve">PCBS: </w:t>
    </w:r>
    <w:r w:rsidRPr="00934BA5">
      <w:rPr>
        <w:rFonts w:ascii="Times New Roman" w:hAnsi="Times New Roman"/>
        <w:sz w:val="16"/>
        <w:szCs w:val="16"/>
        <w:lang w:val="en-US" w:eastAsia="fr-FR"/>
      </w:rPr>
      <w:t xml:space="preserve">Development of </w:t>
    </w:r>
    <w:r>
      <w:rPr>
        <w:rFonts w:ascii="Times New Roman" w:hAnsi="Times New Roman"/>
        <w:sz w:val="16"/>
        <w:szCs w:val="16"/>
        <w:lang w:val="en-US" w:eastAsia="fr-FR"/>
      </w:rPr>
      <w:t xml:space="preserve">the </w:t>
    </w:r>
    <w:r w:rsidRPr="00934BA5">
      <w:rPr>
        <w:rFonts w:ascii="Times New Roman" w:hAnsi="Times New Roman"/>
        <w:sz w:val="16"/>
        <w:szCs w:val="16"/>
        <w:lang w:val="en-US" w:eastAsia="fr-FR"/>
      </w:rPr>
      <w:t>Palestinian Establishments 2012, 2017</w:t>
    </w:r>
  </w:p>
  <w:p w:rsidR="0001334E" w:rsidRPr="00934BA5" w:rsidRDefault="0001334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F47"/>
    <w:multiLevelType w:val="multilevel"/>
    <w:tmpl w:val="2286BB5E"/>
    <w:lvl w:ilvl="0">
      <w:start w:val="2"/>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3EC1FFC"/>
    <w:multiLevelType w:val="multilevel"/>
    <w:tmpl w:val="60843468"/>
    <w:lvl w:ilvl="0">
      <w:start w:val="1"/>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1E633C"/>
    <w:multiLevelType w:val="hybridMultilevel"/>
    <w:tmpl w:val="E8CC97E2"/>
    <w:lvl w:ilvl="0" w:tplc="FA3A442E">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15:restartNumberingAfterBreak="0">
    <w:nsid w:val="08AD0040"/>
    <w:multiLevelType w:val="multilevel"/>
    <w:tmpl w:val="5B00A8EE"/>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AE8198B"/>
    <w:multiLevelType w:val="multilevel"/>
    <w:tmpl w:val="5B00A8EE"/>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0D7F6381"/>
    <w:multiLevelType w:val="hybridMultilevel"/>
    <w:tmpl w:val="3D36C8A4"/>
    <w:lvl w:ilvl="0" w:tplc="88300E76">
      <w:start w:val="20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A37C1"/>
    <w:multiLevelType w:val="hybridMultilevel"/>
    <w:tmpl w:val="943C271A"/>
    <w:lvl w:ilvl="0" w:tplc="0401000F">
      <w:start w:val="1"/>
      <w:numFmt w:val="decimal"/>
      <w:lvlText w:val="%1."/>
      <w:lvlJc w:val="left"/>
      <w:pPr>
        <w:tabs>
          <w:tab w:val="num" w:pos="720"/>
        </w:tabs>
        <w:ind w:left="720" w:hanging="360"/>
      </w:pPr>
      <w:rPr>
        <w:rFonts w:cs="Times New Roman"/>
      </w:rPr>
    </w:lvl>
    <w:lvl w:ilvl="1" w:tplc="E2905F6A">
      <w:start w:val="1"/>
      <w:numFmt w:val="arabicAbjad"/>
      <w:lvlText w:val="%2."/>
      <w:lvlJc w:val="left"/>
      <w:pPr>
        <w:tabs>
          <w:tab w:val="num" w:pos="1800"/>
        </w:tabs>
        <w:ind w:left="1800" w:hanging="360"/>
      </w:pPr>
      <w:rPr>
        <w:rFonts w:cs="Times New Roman" w:hint="default"/>
        <w:sz w:val="2"/>
        <w:szCs w:val="24"/>
      </w:rPr>
    </w:lvl>
    <w:lvl w:ilvl="2" w:tplc="6E80942A">
      <w:start w:val="1"/>
      <w:numFmt w:val="lowerLetter"/>
      <w:lvlText w:val="%3."/>
      <w:lvlJc w:val="left"/>
      <w:pPr>
        <w:ind w:left="360" w:hanging="360"/>
      </w:pPr>
      <w:rPr>
        <w:rFonts w:cs="Times New Roman" w:hint="default"/>
      </w:rPr>
    </w:lvl>
    <w:lvl w:ilvl="3" w:tplc="0401000F" w:tentative="1">
      <w:start w:val="1"/>
      <w:numFmt w:val="decimal"/>
      <w:lvlText w:val="%4."/>
      <w:lvlJc w:val="left"/>
      <w:pPr>
        <w:tabs>
          <w:tab w:val="num" w:pos="3240"/>
        </w:tabs>
        <w:ind w:left="3240" w:hanging="360"/>
      </w:pPr>
      <w:rPr>
        <w:rFonts w:cs="Times New Roman"/>
      </w:rPr>
    </w:lvl>
    <w:lvl w:ilvl="4" w:tplc="04010019" w:tentative="1">
      <w:start w:val="1"/>
      <w:numFmt w:val="lowerLetter"/>
      <w:lvlText w:val="%5."/>
      <w:lvlJc w:val="left"/>
      <w:pPr>
        <w:tabs>
          <w:tab w:val="num" w:pos="3960"/>
        </w:tabs>
        <w:ind w:left="3960" w:hanging="360"/>
      </w:pPr>
      <w:rPr>
        <w:rFonts w:cs="Times New Roman"/>
      </w:rPr>
    </w:lvl>
    <w:lvl w:ilvl="5" w:tplc="0401001B" w:tentative="1">
      <w:start w:val="1"/>
      <w:numFmt w:val="lowerRoman"/>
      <w:lvlText w:val="%6."/>
      <w:lvlJc w:val="right"/>
      <w:pPr>
        <w:tabs>
          <w:tab w:val="num" w:pos="4680"/>
        </w:tabs>
        <w:ind w:left="4680" w:hanging="180"/>
      </w:pPr>
      <w:rPr>
        <w:rFonts w:cs="Times New Roman"/>
      </w:rPr>
    </w:lvl>
    <w:lvl w:ilvl="6" w:tplc="0401000F" w:tentative="1">
      <w:start w:val="1"/>
      <w:numFmt w:val="decimal"/>
      <w:lvlText w:val="%7."/>
      <w:lvlJc w:val="left"/>
      <w:pPr>
        <w:tabs>
          <w:tab w:val="num" w:pos="5400"/>
        </w:tabs>
        <w:ind w:left="5400" w:hanging="360"/>
      </w:pPr>
      <w:rPr>
        <w:rFonts w:cs="Times New Roman"/>
      </w:rPr>
    </w:lvl>
    <w:lvl w:ilvl="7" w:tplc="04010019" w:tentative="1">
      <w:start w:val="1"/>
      <w:numFmt w:val="lowerLetter"/>
      <w:lvlText w:val="%8."/>
      <w:lvlJc w:val="left"/>
      <w:pPr>
        <w:tabs>
          <w:tab w:val="num" w:pos="6120"/>
        </w:tabs>
        <w:ind w:left="6120" w:hanging="360"/>
      </w:pPr>
      <w:rPr>
        <w:rFonts w:cs="Times New Roman"/>
      </w:rPr>
    </w:lvl>
    <w:lvl w:ilvl="8" w:tplc="0401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1B57A9C"/>
    <w:multiLevelType w:val="hybridMultilevel"/>
    <w:tmpl w:val="0972D926"/>
    <w:lvl w:ilvl="0" w:tplc="88300E76">
      <w:start w:val="20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F15C3"/>
    <w:multiLevelType w:val="hybridMultilevel"/>
    <w:tmpl w:val="48E0340E"/>
    <w:lvl w:ilvl="0" w:tplc="48266E38">
      <w:start w:val="1"/>
      <w:numFmt w:val="decimal"/>
      <w:lvlText w:val="%1."/>
      <w:lvlJc w:val="left"/>
      <w:pPr>
        <w:tabs>
          <w:tab w:val="num" w:pos="1069"/>
        </w:tabs>
        <w:ind w:left="1069" w:hanging="360"/>
      </w:pPr>
      <w:rPr>
        <w:rFonts w:cs="Times New Roman" w:hint="default"/>
        <w:b w:val="0"/>
        <w:bCs w:val="0"/>
        <w:i w:val="0"/>
        <w:iCs w:val="0"/>
      </w:rPr>
    </w:lvl>
    <w:lvl w:ilvl="1" w:tplc="04010019" w:tentative="1">
      <w:start w:val="1"/>
      <w:numFmt w:val="lowerLetter"/>
      <w:lvlText w:val="%2."/>
      <w:lvlJc w:val="left"/>
      <w:pPr>
        <w:tabs>
          <w:tab w:val="num" w:pos="1800"/>
        </w:tabs>
        <w:ind w:left="1800" w:hanging="360"/>
      </w:pPr>
      <w:rPr>
        <w:rFonts w:cs="Times New Roman"/>
      </w:rPr>
    </w:lvl>
    <w:lvl w:ilvl="2" w:tplc="0401001B" w:tentative="1">
      <w:start w:val="1"/>
      <w:numFmt w:val="lowerRoman"/>
      <w:lvlText w:val="%3."/>
      <w:lvlJc w:val="right"/>
      <w:pPr>
        <w:tabs>
          <w:tab w:val="num" w:pos="2520"/>
        </w:tabs>
        <w:ind w:left="2520" w:hanging="180"/>
      </w:pPr>
      <w:rPr>
        <w:rFonts w:cs="Times New Roman"/>
      </w:rPr>
    </w:lvl>
    <w:lvl w:ilvl="3" w:tplc="0401000F" w:tentative="1">
      <w:start w:val="1"/>
      <w:numFmt w:val="decimal"/>
      <w:lvlText w:val="%4."/>
      <w:lvlJc w:val="left"/>
      <w:pPr>
        <w:tabs>
          <w:tab w:val="num" w:pos="3240"/>
        </w:tabs>
        <w:ind w:left="3240" w:hanging="360"/>
      </w:pPr>
      <w:rPr>
        <w:rFonts w:cs="Times New Roman"/>
      </w:rPr>
    </w:lvl>
    <w:lvl w:ilvl="4" w:tplc="04010019" w:tentative="1">
      <w:start w:val="1"/>
      <w:numFmt w:val="lowerLetter"/>
      <w:lvlText w:val="%5."/>
      <w:lvlJc w:val="left"/>
      <w:pPr>
        <w:tabs>
          <w:tab w:val="num" w:pos="3960"/>
        </w:tabs>
        <w:ind w:left="3960" w:hanging="360"/>
      </w:pPr>
      <w:rPr>
        <w:rFonts w:cs="Times New Roman"/>
      </w:rPr>
    </w:lvl>
    <w:lvl w:ilvl="5" w:tplc="0401001B" w:tentative="1">
      <w:start w:val="1"/>
      <w:numFmt w:val="lowerRoman"/>
      <w:lvlText w:val="%6."/>
      <w:lvlJc w:val="right"/>
      <w:pPr>
        <w:tabs>
          <w:tab w:val="num" w:pos="4680"/>
        </w:tabs>
        <w:ind w:left="4680" w:hanging="180"/>
      </w:pPr>
      <w:rPr>
        <w:rFonts w:cs="Times New Roman"/>
      </w:rPr>
    </w:lvl>
    <w:lvl w:ilvl="6" w:tplc="0401000F" w:tentative="1">
      <w:start w:val="1"/>
      <w:numFmt w:val="decimal"/>
      <w:lvlText w:val="%7."/>
      <w:lvlJc w:val="left"/>
      <w:pPr>
        <w:tabs>
          <w:tab w:val="num" w:pos="5400"/>
        </w:tabs>
        <w:ind w:left="5400" w:hanging="360"/>
      </w:pPr>
      <w:rPr>
        <w:rFonts w:cs="Times New Roman"/>
      </w:rPr>
    </w:lvl>
    <w:lvl w:ilvl="7" w:tplc="04010019" w:tentative="1">
      <w:start w:val="1"/>
      <w:numFmt w:val="lowerLetter"/>
      <w:lvlText w:val="%8."/>
      <w:lvlJc w:val="left"/>
      <w:pPr>
        <w:tabs>
          <w:tab w:val="num" w:pos="6120"/>
        </w:tabs>
        <w:ind w:left="6120" w:hanging="360"/>
      </w:pPr>
      <w:rPr>
        <w:rFonts w:cs="Times New Roman"/>
      </w:rPr>
    </w:lvl>
    <w:lvl w:ilvl="8" w:tplc="0401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93A740D"/>
    <w:multiLevelType w:val="hybridMultilevel"/>
    <w:tmpl w:val="D24E82C0"/>
    <w:lvl w:ilvl="0" w:tplc="88300E76">
      <w:start w:val="20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0276A"/>
    <w:multiLevelType w:val="hybridMultilevel"/>
    <w:tmpl w:val="8AA0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866D8"/>
    <w:multiLevelType w:val="hybridMultilevel"/>
    <w:tmpl w:val="62B88F5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B3C07"/>
    <w:multiLevelType w:val="multilevel"/>
    <w:tmpl w:val="2E2843E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271F0DC8"/>
    <w:multiLevelType w:val="hybridMultilevel"/>
    <w:tmpl w:val="A6BAA194"/>
    <w:lvl w:ilvl="0" w:tplc="04080001">
      <w:start w:val="5"/>
      <w:numFmt w:val="bullet"/>
      <w:lvlText w:val=""/>
      <w:lvlJc w:val="left"/>
      <w:pPr>
        <w:ind w:left="720" w:hanging="360"/>
      </w:pPr>
      <w:rPr>
        <w:rFonts w:ascii="Symbol" w:eastAsia="Times New Roman"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7B1714F"/>
    <w:multiLevelType w:val="hybridMultilevel"/>
    <w:tmpl w:val="3660529C"/>
    <w:lvl w:ilvl="0" w:tplc="88300E76">
      <w:start w:val="20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5C06A9"/>
    <w:multiLevelType w:val="hybridMultilevel"/>
    <w:tmpl w:val="85EE8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542B57"/>
    <w:multiLevelType w:val="hybridMultilevel"/>
    <w:tmpl w:val="B3125BD6"/>
    <w:lvl w:ilvl="0" w:tplc="4322EB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9794C"/>
    <w:multiLevelType w:val="multilevel"/>
    <w:tmpl w:val="71C053E6"/>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4B82691"/>
    <w:multiLevelType w:val="hybridMultilevel"/>
    <w:tmpl w:val="57EECFAC"/>
    <w:lvl w:ilvl="0" w:tplc="32766A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8297C"/>
    <w:multiLevelType w:val="hybridMultilevel"/>
    <w:tmpl w:val="44B43A96"/>
    <w:lvl w:ilvl="0" w:tplc="AC6AD6E2">
      <w:start w:val="1"/>
      <w:numFmt w:val="bullet"/>
      <w:lvlText w:val=""/>
      <w:lvlJc w:val="left"/>
      <w:pPr>
        <w:ind w:left="900" w:hanging="360"/>
      </w:pPr>
      <w:rPr>
        <w:rFonts w:ascii="Symbol" w:hAnsi="Symbol"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20" w15:restartNumberingAfterBreak="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085184"/>
    <w:multiLevelType w:val="hybridMultilevel"/>
    <w:tmpl w:val="7608A7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D146E88"/>
    <w:multiLevelType w:val="hybridMultilevel"/>
    <w:tmpl w:val="287C7256"/>
    <w:lvl w:ilvl="0" w:tplc="C3F0816A">
      <w:start w:val="1"/>
      <w:numFmt w:val="bullet"/>
      <w:lvlText w:val=""/>
      <w:lvlJc w:val="left"/>
      <w:pPr>
        <w:tabs>
          <w:tab w:val="num" w:pos="360"/>
        </w:tabs>
        <w:ind w:left="340" w:right="340" w:hanging="340"/>
      </w:pPr>
      <w:rPr>
        <w:rFonts w:ascii="Symbol" w:hAnsi="Symbol" w:cs="Times New Roman" w:hint="default"/>
      </w:rPr>
    </w:lvl>
    <w:lvl w:ilvl="1" w:tplc="6340FC60">
      <w:start w:val="1"/>
      <w:numFmt w:val="bullet"/>
      <w:lvlText w:val="o"/>
      <w:lvlJc w:val="left"/>
      <w:pPr>
        <w:tabs>
          <w:tab w:val="num" w:pos="1440"/>
        </w:tabs>
        <w:ind w:left="1440" w:right="1440" w:hanging="360"/>
      </w:pPr>
      <w:rPr>
        <w:rFonts w:ascii="Courier New" w:hAnsi="Courier New" w:cs="Courier New" w:hint="default"/>
      </w:rPr>
    </w:lvl>
    <w:lvl w:ilvl="2" w:tplc="BD32A63C">
      <w:start w:val="1"/>
      <w:numFmt w:val="bullet"/>
      <w:lvlText w:val=""/>
      <w:lvlJc w:val="left"/>
      <w:pPr>
        <w:tabs>
          <w:tab w:val="num" w:pos="2160"/>
        </w:tabs>
        <w:ind w:left="2160" w:right="2160" w:hanging="360"/>
      </w:pPr>
      <w:rPr>
        <w:rFonts w:ascii="Wingdings" w:hAnsi="Wingdings" w:cs="Times New Roman" w:hint="default"/>
      </w:rPr>
    </w:lvl>
    <w:lvl w:ilvl="3" w:tplc="B5FAC5C2">
      <w:start w:val="1"/>
      <w:numFmt w:val="bullet"/>
      <w:lvlText w:val=""/>
      <w:lvlJc w:val="left"/>
      <w:pPr>
        <w:tabs>
          <w:tab w:val="num" w:pos="2880"/>
        </w:tabs>
        <w:ind w:left="2880" w:right="2880" w:hanging="360"/>
      </w:pPr>
      <w:rPr>
        <w:rFonts w:ascii="Symbol" w:hAnsi="Symbol" w:cs="Times New Roman" w:hint="default"/>
      </w:rPr>
    </w:lvl>
    <w:lvl w:ilvl="4" w:tplc="3B8E0334">
      <w:start w:val="1"/>
      <w:numFmt w:val="bullet"/>
      <w:lvlText w:val="o"/>
      <w:lvlJc w:val="left"/>
      <w:pPr>
        <w:tabs>
          <w:tab w:val="num" w:pos="3600"/>
        </w:tabs>
        <w:ind w:left="3600" w:right="3600" w:hanging="360"/>
      </w:pPr>
      <w:rPr>
        <w:rFonts w:ascii="Courier New" w:hAnsi="Courier New" w:cs="Courier New" w:hint="default"/>
      </w:rPr>
    </w:lvl>
    <w:lvl w:ilvl="5" w:tplc="2D046790">
      <w:start w:val="1"/>
      <w:numFmt w:val="bullet"/>
      <w:lvlText w:val=""/>
      <w:lvlJc w:val="left"/>
      <w:pPr>
        <w:tabs>
          <w:tab w:val="num" w:pos="4320"/>
        </w:tabs>
        <w:ind w:left="4320" w:right="4320" w:hanging="360"/>
      </w:pPr>
      <w:rPr>
        <w:rFonts w:ascii="Wingdings" w:hAnsi="Wingdings" w:cs="Times New Roman" w:hint="default"/>
      </w:rPr>
    </w:lvl>
    <w:lvl w:ilvl="6" w:tplc="8EF0228A">
      <w:start w:val="1"/>
      <w:numFmt w:val="bullet"/>
      <w:lvlText w:val=""/>
      <w:lvlJc w:val="left"/>
      <w:pPr>
        <w:tabs>
          <w:tab w:val="num" w:pos="5040"/>
        </w:tabs>
        <w:ind w:left="5040" w:right="5040" w:hanging="360"/>
      </w:pPr>
      <w:rPr>
        <w:rFonts w:ascii="Symbol" w:hAnsi="Symbol" w:cs="Times New Roman" w:hint="default"/>
      </w:rPr>
    </w:lvl>
    <w:lvl w:ilvl="7" w:tplc="89341E88">
      <w:start w:val="1"/>
      <w:numFmt w:val="bullet"/>
      <w:lvlText w:val="o"/>
      <w:lvlJc w:val="left"/>
      <w:pPr>
        <w:tabs>
          <w:tab w:val="num" w:pos="5760"/>
        </w:tabs>
        <w:ind w:left="5760" w:right="5760" w:hanging="360"/>
      </w:pPr>
      <w:rPr>
        <w:rFonts w:ascii="Courier New" w:hAnsi="Courier New" w:cs="Courier New" w:hint="default"/>
      </w:rPr>
    </w:lvl>
    <w:lvl w:ilvl="8" w:tplc="97FAC63E">
      <w:start w:val="1"/>
      <w:numFmt w:val="bullet"/>
      <w:lvlText w:val=""/>
      <w:lvlJc w:val="left"/>
      <w:pPr>
        <w:tabs>
          <w:tab w:val="num" w:pos="6480"/>
        </w:tabs>
        <w:ind w:left="6480" w:right="6480" w:hanging="360"/>
      </w:pPr>
      <w:rPr>
        <w:rFonts w:ascii="Wingdings" w:hAnsi="Wingdings" w:cs="Times New Roman" w:hint="default"/>
      </w:rPr>
    </w:lvl>
  </w:abstractNum>
  <w:abstractNum w:abstractNumId="23" w15:restartNumberingAfterBreak="0">
    <w:nsid w:val="42F57473"/>
    <w:multiLevelType w:val="hybridMultilevel"/>
    <w:tmpl w:val="AEAA4582"/>
    <w:lvl w:ilvl="0" w:tplc="8766EE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3C64E0"/>
    <w:multiLevelType w:val="hybridMultilevel"/>
    <w:tmpl w:val="9DE042B4"/>
    <w:lvl w:ilvl="0" w:tplc="1CF087B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427D4"/>
    <w:multiLevelType w:val="multilevel"/>
    <w:tmpl w:val="591271D2"/>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468F2D3A"/>
    <w:multiLevelType w:val="multilevel"/>
    <w:tmpl w:val="9C12F294"/>
    <w:lvl w:ilvl="0">
      <w:start w:val="1"/>
      <w:numFmt w:val="lowerLetter"/>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F7631E0"/>
    <w:multiLevelType w:val="hybridMultilevel"/>
    <w:tmpl w:val="5D723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5627C2"/>
    <w:multiLevelType w:val="hybridMultilevel"/>
    <w:tmpl w:val="DD0C931E"/>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48661F9"/>
    <w:multiLevelType w:val="multilevel"/>
    <w:tmpl w:val="FFFFFFFF"/>
    <w:lvl w:ilvl="0">
      <w:start w:val="1"/>
      <w:numFmt w:val="decimal"/>
      <w:lvlText w:val="2.%1"/>
      <w:lvlJc w:val="left"/>
      <w:rPr>
        <w:rFonts w:ascii="Arial" w:eastAsia="Times New Roman" w:hAnsi="Arial" w:cs="Arial"/>
        <w:b w:val="0"/>
        <w:bCs w:val="0"/>
        <w:i w:val="0"/>
        <w:iCs w:val="0"/>
        <w:smallCaps w:val="0"/>
        <w:strike w:val="0"/>
        <w:dstrike w:val="0"/>
        <w:color w:val="000000"/>
        <w:spacing w:val="0"/>
        <w:w w:val="100"/>
        <w:position w:val="0"/>
        <w:sz w:val="19"/>
        <w:szCs w:val="19"/>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5D4610AC"/>
    <w:multiLevelType w:val="hybridMultilevel"/>
    <w:tmpl w:val="79D457CA"/>
    <w:lvl w:ilvl="0" w:tplc="88300E76">
      <w:start w:val="20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45F87"/>
    <w:multiLevelType w:val="hybridMultilevel"/>
    <w:tmpl w:val="0D4C68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456E0"/>
    <w:multiLevelType w:val="hybridMultilevel"/>
    <w:tmpl w:val="02B88C62"/>
    <w:lvl w:ilvl="0" w:tplc="546AC444">
      <w:start w:val="1"/>
      <w:numFmt w:val="decimal"/>
      <w:lvlText w:val="%1."/>
      <w:lvlJc w:val="left"/>
      <w:pPr>
        <w:ind w:left="720" w:hanging="360"/>
      </w:pPr>
      <w:rPr>
        <w:rFonts w:ascii="Times New Roman" w:hAnsi="Times New Roman"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8F3810"/>
    <w:multiLevelType w:val="hybridMultilevel"/>
    <w:tmpl w:val="96F6CEE8"/>
    <w:lvl w:ilvl="0" w:tplc="D4D4800A">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D3468"/>
    <w:multiLevelType w:val="hybridMultilevel"/>
    <w:tmpl w:val="88663F6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15:restartNumberingAfterBreak="0">
    <w:nsid w:val="6BB67E93"/>
    <w:multiLevelType w:val="hybridMultilevel"/>
    <w:tmpl w:val="451ED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6C2970"/>
    <w:multiLevelType w:val="hybridMultilevel"/>
    <w:tmpl w:val="842ADAAE"/>
    <w:lvl w:ilvl="0" w:tplc="CE0E86D8">
      <w:start w:val="100"/>
      <w:numFmt w:val="bullet"/>
      <w:lvlText w:val="-"/>
      <w:lvlJc w:val="left"/>
      <w:pPr>
        <w:ind w:left="673" w:hanging="360"/>
      </w:pPr>
      <w:rPr>
        <w:rFonts w:ascii="Calibri" w:eastAsia="Times New Roman" w:hAnsi="Calibri" w:hint="default"/>
      </w:rPr>
    </w:lvl>
    <w:lvl w:ilvl="1" w:tplc="04080003" w:tentative="1">
      <w:start w:val="1"/>
      <w:numFmt w:val="bullet"/>
      <w:lvlText w:val="o"/>
      <w:lvlJc w:val="left"/>
      <w:pPr>
        <w:ind w:left="1393" w:hanging="360"/>
      </w:pPr>
      <w:rPr>
        <w:rFonts w:ascii="Courier New" w:hAnsi="Courier New" w:hint="default"/>
      </w:rPr>
    </w:lvl>
    <w:lvl w:ilvl="2" w:tplc="04080005" w:tentative="1">
      <w:start w:val="1"/>
      <w:numFmt w:val="bullet"/>
      <w:lvlText w:val=""/>
      <w:lvlJc w:val="left"/>
      <w:pPr>
        <w:ind w:left="2113" w:hanging="360"/>
      </w:pPr>
      <w:rPr>
        <w:rFonts w:ascii="Wingdings" w:hAnsi="Wingdings" w:hint="default"/>
      </w:rPr>
    </w:lvl>
    <w:lvl w:ilvl="3" w:tplc="04080001" w:tentative="1">
      <w:start w:val="1"/>
      <w:numFmt w:val="bullet"/>
      <w:lvlText w:val=""/>
      <w:lvlJc w:val="left"/>
      <w:pPr>
        <w:ind w:left="2833" w:hanging="360"/>
      </w:pPr>
      <w:rPr>
        <w:rFonts w:ascii="Symbol" w:hAnsi="Symbol" w:hint="default"/>
      </w:rPr>
    </w:lvl>
    <w:lvl w:ilvl="4" w:tplc="04080003" w:tentative="1">
      <w:start w:val="1"/>
      <w:numFmt w:val="bullet"/>
      <w:lvlText w:val="o"/>
      <w:lvlJc w:val="left"/>
      <w:pPr>
        <w:ind w:left="3553" w:hanging="360"/>
      </w:pPr>
      <w:rPr>
        <w:rFonts w:ascii="Courier New" w:hAnsi="Courier New" w:hint="default"/>
      </w:rPr>
    </w:lvl>
    <w:lvl w:ilvl="5" w:tplc="04080005" w:tentative="1">
      <w:start w:val="1"/>
      <w:numFmt w:val="bullet"/>
      <w:lvlText w:val=""/>
      <w:lvlJc w:val="left"/>
      <w:pPr>
        <w:ind w:left="4273" w:hanging="360"/>
      </w:pPr>
      <w:rPr>
        <w:rFonts w:ascii="Wingdings" w:hAnsi="Wingdings" w:hint="default"/>
      </w:rPr>
    </w:lvl>
    <w:lvl w:ilvl="6" w:tplc="04080001" w:tentative="1">
      <w:start w:val="1"/>
      <w:numFmt w:val="bullet"/>
      <w:lvlText w:val=""/>
      <w:lvlJc w:val="left"/>
      <w:pPr>
        <w:ind w:left="4993" w:hanging="360"/>
      </w:pPr>
      <w:rPr>
        <w:rFonts w:ascii="Symbol" w:hAnsi="Symbol" w:hint="default"/>
      </w:rPr>
    </w:lvl>
    <w:lvl w:ilvl="7" w:tplc="04080003" w:tentative="1">
      <w:start w:val="1"/>
      <w:numFmt w:val="bullet"/>
      <w:lvlText w:val="o"/>
      <w:lvlJc w:val="left"/>
      <w:pPr>
        <w:ind w:left="5713" w:hanging="360"/>
      </w:pPr>
      <w:rPr>
        <w:rFonts w:ascii="Courier New" w:hAnsi="Courier New" w:hint="default"/>
      </w:rPr>
    </w:lvl>
    <w:lvl w:ilvl="8" w:tplc="04080005" w:tentative="1">
      <w:start w:val="1"/>
      <w:numFmt w:val="bullet"/>
      <w:lvlText w:val=""/>
      <w:lvlJc w:val="left"/>
      <w:pPr>
        <w:ind w:left="6433" w:hanging="360"/>
      </w:pPr>
      <w:rPr>
        <w:rFonts w:ascii="Wingdings" w:hAnsi="Wingdings" w:hint="default"/>
      </w:rPr>
    </w:lvl>
  </w:abstractNum>
  <w:abstractNum w:abstractNumId="37" w15:restartNumberingAfterBreak="0">
    <w:nsid w:val="74E724EF"/>
    <w:multiLevelType w:val="hybridMultilevel"/>
    <w:tmpl w:val="E23CD416"/>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84B340F"/>
    <w:multiLevelType w:val="hybridMultilevel"/>
    <w:tmpl w:val="8D462648"/>
    <w:lvl w:ilvl="0" w:tplc="04080019">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9" w15:restartNumberingAfterBreak="0">
    <w:nsid w:val="7C191595"/>
    <w:multiLevelType w:val="hybridMultilevel"/>
    <w:tmpl w:val="2164419E"/>
    <w:lvl w:ilvl="0" w:tplc="0408000F">
      <w:start w:val="1"/>
      <w:numFmt w:val="decimal"/>
      <w:lvlText w:val="%1."/>
      <w:lvlJc w:val="left"/>
      <w:pPr>
        <w:ind w:left="720" w:hanging="360"/>
      </w:pPr>
      <w:rPr>
        <w:rFonts w:cs="Times New Roman" w:hint="default"/>
      </w:rPr>
    </w:lvl>
    <w:lvl w:ilvl="1" w:tplc="04080019">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0" w15:restartNumberingAfterBreak="0">
    <w:nsid w:val="7F826126"/>
    <w:multiLevelType w:val="hybridMultilevel"/>
    <w:tmpl w:val="E1A05D74"/>
    <w:lvl w:ilvl="0" w:tplc="81261DE2">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28"/>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6"/>
  </w:num>
  <w:num w:numId="5">
    <w:abstractNumId w:val="21"/>
  </w:num>
  <w:num w:numId="6">
    <w:abstractNumId w:val="8"/>
  </w:num>
  <w:num w:numId="7">
    <w:abstractNumId w:val="34"/>
  </w:num>
  <w:num w:numId="8">
    <w:abstractNumId w:val="38"/>
  </w:num>
  <w:num w:numId="9">
    <w:abstractNumId w:val="39"/>
  </w:num>
  <w:num w:numId="10">
    <w:abstractNumId w:val="0"/>
  </w:num>
  <w:num w:numId="11">
    <w:abstractNumId w:val="4"/>
  </w:num>
  <w:num w:numId="12">
    <w:abstractNumId w:val="17"/>
  </w:num>
  <w:num w:numId="13">
    <w:abstractNumId w:val="25"/>
  </w:num>
  <w:num w:numId="14">
    <w:abstractNumId w:val="29"/>
    <w:lvlOverride w:ilvl="0">
      <w:startOverride w:val="1"/>
    </w:lvlOverride>
    <w:lvlOverride w:ilvl="1"/>
    <w:lvlOverride w:ilvl="2"/>
    <w:lvlOverride w:ilvl="3"/>
    <w:lvlOverride w:ilvl="4"/>
    <w:lvlOverride w:ilvl="5"/>
    <w:lvlOverride w:ilvl="6"/>
    <w:lvlOverride w:ilvl="7"/>
    <w:lvlOverride w:ilvl="8"/>
  </w:num>
  <w:num w:numId="15">
    <w:abstractNumId w:val="36"/>
  </w:num>
  <w:num w:numId="16">
    <w:abstractNumId w:val="13"/>
  </w:num>
  <w:num w:numId="17">
    <w:abstractNumId w:val="2"/>
  </w:num>
  <w:num w:numId="18">
    <w:abstractNumId w:val="40"/>
  </w:num>
  <w:num w:numId="19">
    <w:abstractNumId w:val="3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9"/>
  </w:num>
  <w:num w:numId="24">
    <w:abstractNumId w:val="15"/>
  </w:num>
  <w:num w:numId="25">
    <w:abstractNumId w:val="20"/>
  </w:num>
  <w:num w:numId="26">
    <w:abstractNumId w:val="10"/>
  </w:num>
  <w:num w:numId="27">
    <w:abstractNumId w:val="23"/>
  </w:num>
  <w:num w:numId="28">
    <w:abstractNumId w:val="3"/>
  </w:num>
  <w:num w:numId="29">
    <w:abstractNumId w:val="14"/>
  </w:num>
  <w:num w:numId="30">
    <w:abstractNumId w:val="32"/>
  </w:num>
  <w:num w:numId="31">
    <w:abstractNumId w:val="16"/>
  </w:num>
  <w:num w:numId="32">
    <w:abstractNumId w:val="35"/>
  </w:num>
  <w:num w:numId="33">
    <w:abstractNumId w:val="33"/>
  </w:num>
  <w:num w:numId="34">
    <w:abstractNumId w:val="24"/>
  </w:num>
  <w:num w:numId="35">
    <w:abstractNumId w:val="11"/>
  </w:num>
  <w:num w:numId="36">
    <w:abstractNumId w:val="30"/>
  </w:num>
  <w:num w:numId="37">
    <w:abstractNumId w:val="18"/>
  </w:num>
  <w:num w:numId="38">
    <w:abstractNumId w:val="7"/>
  </w:num>
  <w:num w:numId="39">
    <w:abstractNumId w:val="9"/>
  </w:num>
  <w:num w:numId="40">
    <w:abstractNumId w:val="5"/>
  </w:num>
  <w:num w:numId="41">
    <w:abstractNumId w:val="27"/>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49">
      <o:colormru v:ext="edit" colors="#903,#6c0000,#820000,#740000,#0c0,maroon,#a50021,#9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A1C"/>
    <w:rsid w:val="000016B2"/>
    <w:rsid w:val="00002778"/>
    <w:rsid w:val="000028AA"/>
    <w:rsid w:val="00002DE8"/>
    <w:rsid w:val="0000309E"/>
    <w:rsid w:val="0000484D"/>
    <w:rsid w:val="00004985"/>
    <w:rsid w:val="00005301"/>
    <w:rsid w:val="000059CF"/>
    <w:rsid w:val="0000710B"/>
    <w:rsid w:val="00007B79"/>
    <w:rsid w:val="00012348"/>
    <w:rsid w:val="0001334E"/>
    <w:rsid w:val="00013DE8"/>
    <w:rsid w:val="00014E74"/>
    <w:rsid w:val="0001592A"/>
    <w:rsid w:val="000202A9"/>
    <w:rsid w:val="0002281E"/>
    <w:rsid w:val="00023C0E"/>
    <w:rsid w:val="00024E1B"/>
    <w:rsid w:val="000256A2"/>
    <w:rsid w:val="00026780"/>
    <w:rsid w:val="00030F1B"/>
    <w:rsid w:val="000319A8"/>
    <w:rsid w:val="00033C9D"/>
    <w:rsid w:val="00034616"/>
    <w:rsid w:val="00034CE7"/>
    <w:rsid w:val="00035651"/>
    <w:rsid w:val="00036E35"/>
    <w:rsid w:val="000372AD"/>
    <w:rsid w:val="00037D2A"/>
    <w:rsid w:val="00040781"/>
    <w:rsid w:val="000411D2"/>
    <w:rsid w:val="00042F7C"/>
    <w:rsid w:val="00045651"/>
    <w:rsid w:val="00045B18"/>
    <w:rsid w:val="00046466"/>
    <w:rsid w:val="00047569"/>
    <w:rsid w:val="00047B94"/>
    <w:rsid w:val="0005006F"/>
    <w:rsid w:val="00050F4A"/>
    <w:rsid w:val="000513F5"/>
    <w:rsid w:val="00051C42"/>
    <w:rsid w:val="00054669"/>
    <w:rsid w:val="0005496D"/>
    <w:rsid w:val="00055B1F"/>
    <w:rsid w:val="00057A2E"/>
    <w:rsid w:val="00060841"/>
    <w:rsid w:val="00060958"/>
    <w:rsid w:val="000611FF"/>
    <w:rsid w:val="00063FD6"/>
    <w:rsid w:val="00064FFF"/>
    <w:rsid w:val="000656AD"/>
    <w:rsid w:val="000658EF"/>
    <w:rsid w:val="00066331"/>
    <w:rsid w:val="0006673E"/>
    <w:rsid w:val="00067683"/>
    <w:rsid w:val="00067A9F"/>
    <w:rsid w:val="00070F48"/>
    <w:rsid w:val="0007197A"/>
    <w:rsid w:val="00072118"/>
    <w:rsid w:val="00072547"/>
    <w:rsid w:val="00072CB8"/>
    <w:rsid w:val="000734BE"/>
    <w:rsid w:val="00075647"/>
    <w:rsid w:val="000764D6"/>
    <w:rsid w:val="0007779E"/>
    <w:rsid w:val="000777BA"/>
    <w:rsid w:val="000815B1"/>
    <w:rsid w:val="00081C6C"/>
    <w:rsid w:val="00081C7F"/>
    <w:rsid w:val="000828EE"/>
    <w:rsid w:val="00082CD0"/>
    <w:rsid w:val="000833DB"/>
    <w:rsid w:val="00083468"/>
    <w:rsid w:val="00083B3E"/>
    <w:rsid w:val="000843FE"/>
    <w:rsid w:val="000847E5"/>
    <w:rsid w:val="000854FE"/>
    <w:rsid w:val="00086517"/>
    <w:rsid w:val="00086B69"/>
    <w:rsid w:val="000874BA"/>
    <w:rsid w:val="0009008F"/>
    <w:rsid w:val="00090904"/>
    <w:rsid w:val="0009102A"/>
    <w:rsid w:val="00091848"/>
    <w:rsid w:val="00091C9B"/>
    <w:rsid w:val="00092B4F"/>
    <w:rsid w:val="000933C0"/>
    <w:rsid w:val="0009496F"/>
    <w:rsid w:val="00094E5A"/>
    <w:rsid w:val="0009543D"/>
    <w:rsid w:val="00096352"/>
    <w:rsid w:val="00096564"/>
    <w:rsid w:val="00096C3F"/>
    <w:rsid w:val="000A0483"/>
    <w:rsid w:val="000A192E"/>
    <w:rsid w:val="000A2BF5"/>
    <w:rsid w:val="000A3FE3"/>
    <w:rsid w:val="000A5E1C"/>
    <w:rsid w:val="000A6160"/>
    <w:rsid w:val="000A6C60"/>
    <w:rsid w:val="000B41AF"/>
    <w:rsid w:val="000B43B0"/>
    <w:rsid w:val="000B478A"/>
    <w:rsid w:val="000B4EEB"/>
    <w:rsid w:val="000B7641"/>
    <w:rsid w:val="000C1529"/>
    <w:rsid w:val="000C15E8"/>
    <w:rsid w:val="000C1711"/>
    <w:rsid w:val="000C197B"/>
    <w:rsid w:val="000C2955"/>
    <w:rsid w:val="000C2C2E"/>
    <w:rsid w:val="000C31A0"/>
    <w:rsid w:val="000C3804"/>
    <w:rsid w:val="000C3AD6"/>
    <w:rsid w:val="000C50F1"/>
    <w:rsid w:val="000C6144"/>
    <w:rsid w:val="000C62C4"/>
    <w:rsid w:val="000D0BC2"/>
    <w:rsid w:val="000D0FAE"/>
    <w:rsid w:val="000D1067"/>
    <w:rsid w:val="000D10B1"/>
    <w:rsid w:val="000D1799"/>
    <w:rsid w:val="000D1845"/>
    <w:rsid w:val="000D3DDA"/>
    <w:rsid w:val="000D4EBE"/>
    <w:rsid w:val="000D6350"/>
    <w:rsid w:val="000D7D5D"/>
    <w:rsid w:val="000E0134"/>
    <w:rsid w:val="000E0B7C"/>
    <w:rsid w:val="000E1590"/>
    <w:rsid w:val="000E35B5"/>
    <w:rsid w:val="000E5D71"/>
    <w:rsid w:val="000F0822"/>
    <w:rsid w:val="000F0B2C"/>
    <w:rsid w:val="000F0B69"/>
    <w:rsid w:val="000F13D9"/>
    <w:rsid w:val="000F1689"/>
    <w:rsid w:val="000F2A7F"/>
    <w:rsid w:val="000F3F66"/>
    <w:rsid w:val="000F5017"/>
    <w:rsid w:val="000F5C19"/>
    <w:rsid w:val="000F6262"/>
    <w:rsid w:val="000F7434"/>
    <w:rsid w:val="001016EE"/>
    <w:rsid w:val="0010209A"/>
    <w:rsid w:val="001025B0"/>
    <w:rsid w:val="00105A02"/>
    <w:rsid w:val="00106383"/>
    <w:rsid w:val="00106E24"/>
    <w:rsid w:val="00107C62"/>
    <w:rsid w:val="001114EA"/>
    <w:rsid w:val="001127D0"/>
    <w:rsid w:val="001131A2"/>
    <w:rsid w:val="0011396D"/>
    <w:rsid w:val="001156FD"/>
    <w:rsid w:val="0012001B"/>
    <w:rsid w:val="00121D37"/>
    <w:rsid w:val="0012237A"/>
    <w:rsid w:val="00122EC9"/>
    <w:rsid w:val="00123B31"/>
    <w:rsid w:val="0012409D"/>
    <w:rsid w:val="00125ED3"/>
    <w:rsid w:val="00126CD7"/>
    <w:rsid w:val="00127599"/>
    <w:rsid w:val="00127679"/>
    <w:rsid w:val="00130775"/>
    <w:rsid w:val="0013114C"/>
    <w:rsid w:val="00131BF0"/>
    <w:rsid w:val="00131F07"/>
    <w:rsid w:val="00131F84"/>
    <w:rsid w:val="0013273E"/>
    <w:rsid w:val="00133871"/>
    <w:rsid w:val="0013572A"/>
    <w:rsid w:val="00136D5B"/>
    <w:rsid w:val="0013777F"/>
    <w:rsid w:val="00137DC2"/>
    <w:rsid w:val="00142283"/>
    <w:rsid w:val="00144F6A"/>
    <w:rsid w:val="00145D4A"/>
    <w:rsid w:val="00146373"/>
    <w:rsid w:val="0014725C"/>
    <w:rsid w:val="001475EF"/>
    <w:rsid w:val="00147800"/>
    <w:rsid w:val="001514F7"/>
    <w:rsid w:val="00152D10"/>
    <w:rsid w:val="00152E45"/>
    <w:rsid w:val="0015438E"/>
    <w:rsid w:val="00155465"/>
    <w:rsid w:val="001554C3"/>
    <w:rsid w:val="001558B7"/>
    <w:rsid w:val="00157198"/>
    <w:rsid w:val="00160706"/>
    <w:rsid w:val="00160BB1"/>
    <w:rsid w:val="00160F98"/>
    <w:rsid w:val="00161EA0"/>
    <w:rsid w:val="00161F7A"/>
    <w:rsid w:val="0016256F"/>
    <w:rsid w:val="00162E05"/>
    <w:rsid w:val="00164EEE"/>
    <w:rsid w:val="00166A51"/>
    <w:rsid w:val="00170649"/>
    <w:rsid w:val="001715BB"/>
    <w:rsid w:val="00172206"/>
    <w:rsid w:val="00173225"/>
    <w:rsid w:val="0017385B"/>
    <w:rsid w:val="001767FD"/>
    <w:rsid w:val="00182045"/>
    <w:rsid w:val="00183678"/>
    <w:rsid w:val="00184396"/>
    <w:rsid w:val="001847D5"/>
    <w:rsid w:val="001866EE"/>
    <w:rsid w:val="0018710E"/>
    <w:rsid w:val="001879B5"/>
    <w:rsid w:val="00190177"/>
    <w:rsid w:val="0019066B"/>
    <w:rsid w:val="0019093C"/>
    <w:rsid w:val="0019237F"/>
    <w:rsid w:val="00195149"/>
    <w:rsid w:val="0019535A"/>
    <w:rsid w:val="001958EF"/>
    <w:rsid w:val="001959A0"/>
    <w:rsid w:val="00196480"/>
    <w:rsid w:val="00197634"/>
    <w:rsid w:val="001A141B"/>
    <w:rsid w:val="001A3918"/>
    <w:rsid w:val="001A4D22"/>
    <w:rsid w:val="001A4FD6"/>
    <w:rsid w:val="001A50D4"/>
    <w:rsid w:val="001A54E9"/>
    <w:rsid w:val="001A5BA6"/>
    <w:rsid w:val="001B163C"/>
    <w:rsid w:val="001B2F08"/>
    <w:rsid w:val="001B420E"/>
    <w:rsid w:val="001B6828"/>
    <w:rsid w:val="001B7759"/>
    <w:rsid w:val="001B7D38"/>
    <w:rsid w:val="001B7D5A"/>
    <w:rsid w:val="001C0249"/>
    <w:rsid w:val="001C0EA6"/>
    <w:rsid w:val="001C0EF9"/>
    <w:rsid w:val="001C2234"/>
    <w:rsid w:val="001C3393"/>
    <w:rsid w:val="001C4254"/>
    <w:rsid w:val="001C4611"/>
    <w:rsid w:val="001C6F4E"/>
    <w:rsid w:val="001C74CB"/>
    <w:rsid w:val="001D023C"/>
    <w:rsid w:val="001D0AAD"/>
    <w:rsid w:val="001D1A6D"/>
    <w:rsid w:val="001D2025"/>
    <w:rsid w:val="001D20B6"/>
    <w:rsid w:val="001D27C8"/>
    <w:rsid w:val="001D3DE9"/>
    <w:rsid w:val="001D3ED0"/>
    <w:rsid w:val="001D4CC8"/>
    <w:rsid w:val="001D4EE9"/>
    <w:rsid w:val="001D58AE"/>
    <w:rsid w:val="001D60F5"/>
    <w:rsid w:val="001D7142"/>
    <w:rsid w:val="001D7353"/>
    <w:rsid w:val="001E07B5"/>
    <w:rsid w:val="001E1D36"/>
    <w:rsid w:val="001E3B0B"/>
    <w:rsid w:val="001E41CE"/>
    <w:rsid w:val="001E4D5D"/>
    <w:rsid w:val="001E7EF3"/>
    <w:rsid w:val="001F04FF"/>
    <w:rsid w:val="001F238B"/>
    <w:rsid w:val="001F2718"/>
    <w:rsid w:val="001F2EB3"/>
    <w:rsid w:val="001F45B1"/>
    <w:rsid w:val="001F476F"/>
    <w:rsid w:val="001F4B17"/>
    <w:rsid w:val="001F574A"/>
    <w:rsid w:val="001F750B"/>
    <w:rsid w:val="00201E52"/>
    <w:rsid w:val="00203410"/>
    <w:rsid w:val="00203627"/>
    <w:rsid w:val="00203D7D"/>
    <w:rsid w:val="002054EC"/>
    <w:rsid w:val="00205D85"/>
    <w:rsid w:val="00207495"/>
    <w:rsid w:val="00207C6E"/>
    <w:rsid w:val="00210F45"/>
    <w:rsid w:val="0021565F"/>
    <w:rsid w:val="00215933"/>
    <w:rsid w:val="00216668"/>
    <w:rsid w:val="00217A87"/>
    <w:rsid w:val="00223B00"/>
    <w:rsid w:val="00223FDD"/>
    <w:rsid w:val="002250A1"/>
    <w:rsid w:val="00225667"/>
    <w:rsid w:val="002272C7"/>
    <w:rsid w:val="002273A3"/>
    <w:rsid w:val="00230912"/>
    <w:rsid w:val="00230C9E"/>
    <w:rsid w:val="00232486"/>
    <w:rsid w:val="002338E7"/>
    <w:rsid w:val="00233BDB"/>
    <w:rsid w:val="00234A87"/>
    <w:rsid w:val="002372FA"/>
    <w:rsid w:val="00237DE5"/>
    <w:rsid w:val="002415C6"/>
    <w:rsid w:val="002416B5"/>
    <w:rsid w:val="00242C40"/>
    <w:rsid w:val="00244047"/>
    <w:rsid w:val="00244318"/>
    <w:rsid w:val="00246561"/>
    <w:rsid w:val="00246602"/>
    <w:rsid w:val="00247596"/>
    <w:rsid w:val="00251644"/>
    <w:rsid w:val="002519DE"/>
    <w:rsid w:val="00251AF0"/>
    <w:rsid w:val="0025221F"/>
    <w:rsid w:val="00254072"/>
    <w:rsid w:val="00254513"/>
    <w:rsid w:val="002547F8"/>
    <w:rsid w:val="002555FF"/>
    <w:rsid w:val="00257961"/>
    <w:rsid w:val="00257C93"/>
    <w:rsid w:val="00260319"/>
    <w:rsid w:val="00263483"/>
    <w:rsid w:val="00263622"/>
    <w:rsid w:val="00264DDA"/>
    <w:rsid w:val="0026526E"/>
    <w:rsid w:val="002657A1"/>
    <w:rsid w:val="0026660B"/>
    <w:rsid w:val="002669CD"/>
    <w:rsid w:val="00266C7B"/>
    <w:rsid w:val="002704FF"/>
    <w:rsid w:val="0027179D"/>
    <w:rsid w:val="002724AF"/>
    <w:rsid w:val="00273AFA"/>
    <w:rsid w:val="002746F1"/>
    <w:rsid w:val="00276AB9"/>
    <w:rsid w:val="002806B7"/>
    <w:rsid w:val="002813D4"/>
    <w:rsid w:val="00281647"/>
    <w:rsid w:val="00284CFF"/>
    <w:rsid w:val="0028663E"/>
    <w:rsid w:val="00286CDA"/>
    <w:rsid w:val="00286F31"/>
    <w:rsid w:val="002871BF"/>
    <w:rsid w:val="0029044F"/>
    <w:rsid w:val="002910B9"/>
    <w:rsid w:val="002919EE"/>
    <w:rsid w:val="00292723"/>
    <w:rsid w:val="00293219"/>
    <w:rsid w:val="00295639"/>
    <w:rsid w:val="00295D49"/>
    <w:rsid w:val="002969D1"/>
    <w:rsid w:val="00296EA2"/>
    <w:rsid w:val="0029744B"/>
    <w:rsid w:val="002974E6"/>
    <w:rsid w:val="002975C5"/>
    <w:rsid w:val="002A0096"/>
    <w:rsid w:val="002A04BC"/>
    <w:rsid w:val="002A2B14"/>
    <w:rsid w:val="002A408D"/>
    <w:rsid w:val="002A4A34"/>
    <w:rsid w:val="002A56F3"/>
    <w:rsid w:val="002A6A42"/>
    <w:rsid w:val="002A71FF"/>
    <w:rsid w:val="002B2644"/>
    <w:rsid w:val="002B297A"/>
    <w:rsid w:val="002B4021"/>
    <w:rsid w:val="002B4A06"/>
    <w:rsid w:val="002B5A0F"/>
    <w:rsid w:val="002B79E4"/>
    <w:rsid w:val="002C0157"/>
    <w:rsid w:val="002C0607"/>
    <w:rsid w:val="002C1A81"/>
    <w:rsid w:val="002C1BF8"/>
    <w:rsid w:val="002C1C64"/>
    <w:rsid w:val="002C1CE1"/>
    <w:rsid w:val="002C4708"/>
    <w:rsid w:val="002C5608"/>
    <w:rsid w:val="002C64EA"/>
    <w:rsid w:val="002C66B1"/>
    <w:rsid w:val="002C68D5"/>
    <w:rsid w:val="002D1B23"/>
    <w:rsid w:val="002D58DE"/>
    <w:rsid w:val="002D5AB5"/>
    <w:rsid w:val="002D5ABB"/>
    <w:rsid w:val="002D6580"/>
    <w:rsid w:val="002D70DA"/>
    <w:rsid w:val="002E03DD"/>
    <w:rsid w:val="002E06FB"/>
    <w:rsid w:val="002E111B"/>
    <w:rsid w:val="002E1452"/>
    <w:rsid w:val="002E44FD"/>
    <w:rsid w:val="002E4695"/>
    <w:rsid w:val="002E49E0"/>
    <w:rsid w:val="002E4B82"/>
    <w:rsid w:val="002E6E89"/>
    <w:rsid w:val="002E6EC7"/>
    <w:rsid w:val="002F0914"/>
    <w:rsid w:val="002F1076"/>
    <w:rsid w:val="002F10FD"/>
    <w:rsid w:val="002F1D08"/>
    <w:rsid w:val="002F3F07"/>
    <w:rsid w:val="002F424F"/>
    <w:rsid w:val="002F4845"/>
    <w:rsid w:val="002F4C50"/>
    <w:rsid w:val="003000BE"/>
    <w:rsid w:val="00300857"/>
    <w:rsid w:val="003020F9"/>
    <w:rsid w:val="00304436"/>
    <w:rsid w:val="003055E7"/>
    <w:rsid w:val="003060D0"/>
    <w:rsid w:val="003066FF"/>
    <w:rsid w:val="00306EC9"/>
    <w:rsid w:val="003072F9"/>
    <w:rsid w:val="00307D82"/>
    <w:rsid w:val="00307E28"/>
    <w:rsid w:val="003106E7"/>
    <w:rsid w:val="003107CE"/>
    <w:rsid w:val="00310F3F"/>
    <w:rsid w:val="003112E1"/>
    <w:rsid w:val="00314717"/>
    <w:rsid w:val="00317981"/>
    <w:rsid w:val="00317C4B"/>
    <w:rsid w:val="00320DE0"/>
    <w:rsid w:val="003211A2"/>
    <w:rsid w:val="0032153D"/>
    <w:rsid w:val="003256B6"/>
    <w:rsid w:val="0032572E"/>
    <w:rsid w:val="00325F7C"/>
    <w:rsid w:val="0032673A"/>
    <w:rsid w:val="00327FC9"/>
    <w:rsid w:val="00330386"/>
    <w:rsid w:val="00332226"/>
    <w:rsid w:val="00332F62"/>
    <w:rsid w:val="003331B9"/>
    <w:rsid w:val="00333953"/>
    <w:rsid w:val="00333BBB"/>
    <w:rsid w:val="00333FC1"/>
    <w:rsid w:val="0033461A"/>
    <w:rsid w:val="00335257"/>
    <w:rsid w:val="00335EA0"/>
    <w:rsid w:val="00335F3F"/>
    <w:rsid w:val="00335FEC"/>
    <w:rsid w:val="00337CEF"/>
    <w:rsid w:val="00340209"/>
    <w:rsid w:val="00340461"/>
    <w:rsid w:val="00340794"/>
    <w:rsid w:val="00342ADB"/>
    <w:rsid w:val="00343D7A"/>
    <w:rsid w:val="00344032"/>
    <w:rsid w:val="00344828"/>
    <w:rsid w:val="00344883"/>
    <w:rsid w:val="00344FD1"/>
    <w:rsid w:val="00345299"/>
    <w:rsid w:val="003452FE"/>
    <w:rsid w:val="00345588"/>
    <w:rsid w:val="0034558C"/>
    <w:rsid w:val="003464FD"/>
    <w:rsid w:val="00347B35"/>
    <w:rsid w:val="0035164D"/>
    <w:rsid w:val="003548DE"/>
    <w:rsid w:val="00354C86"/>
    <w:rsid w:val="003557E2"/>
    <w:rsid w:val="0035585B"/>
    <w:rsid w:val="00355EC4"/>
    <w:rsid w:val="0035616A"/>
    <w:rsid w:val="003563F7"/>
    <w:rsid w:val="003565AB"/>
    <w:rsid w:val="00361298"/>
    <w:rsid w:val="0036477E"/>
    <w:rsid w:val="003654BA"/>
    <w:rsid w:val="00366028"/>
    <w:rsid w:val="00366504"/>
    <w:rsid w:val="00366D63"/>
    <w:rsid w:val="00366E68"/>
    <w:rsid w:val="0036717C"/>
    <w:rsid w:val="00370941"/>
    <w:rsid w:val="0037145C"/>
    <w:rsid w:val="00372319"/>
    <w:rsid w:val="00376250"/>
    <w:rsid w:val="00380B5C"/>
    <w:rsid w:val="00381F5C"/>
    <w:rsid w:val="00382EB8"/>
    <w:rsid w:val="00383304"/>
    <w:rsid w:val="00386172"/>
    <w:rsid w:val="00391C00"/>
    <w:rsid w:val="00393011"/>
    <w:rsid w:val="00394828"/>
    <w:rsid w:val="00397783"/>
    <w:rsid w:val="003A01DD"/>
    <w:rsid w:val="003A0D27"/>
    <w:rsid w:val="003A2806"/>
    <w:rsid w:val="003A545F"/>
    <w:rsid w:val="003A75BE"/>
    <w:rsid w:val="003A791C"/>
    <w:rsid w:val="003A7B9D"/>
    <w:rsid w:val="003B06B7"/>
    <w:rsid w:val="003B09DA"/>
    <w:rsid w:val="003B2394"/>
    <w:rsid w:val="003B2FD7"/>
    <w:rsid w:val="003B36A7"/>
    <w:rsid w:val="003B4525"/>
    <w:rsid w:val="003C0B66"/>
    <w:rsid w:val="003C0DA3"/>
    <w:rsid w:val="003C1948"/>
    <w:rsid w:val="003C1E0D"/>
    <w:rsid w:val="003C5411"/>
    <w:rsid w:val="003C65A9"/>
    <w:rsid w:val="003D0715"/>
    <w:rsid w:val="003D2C65"/>
    <w:rsid w:val="003D44CD"/>
    <w:rsid w:val="003D727E"/>
    <w:rsid w:val="003E08C1"/>
    <w:rsid w:val="003E0A5D"/>
    <w:rsid w:val="003E21B0"/>
    <w:rsid w:val="003E2800"/>
    <w:rsid w:val="003E5AF7"/>
    <w:rsid w:val="003E5FED"/>
    <w:rsid w:val="003E64E9"/>
    <w:rsid w:val="003E6CA4"/>
    <w:rsid w:val="003F1ED9"/>
    <w:rsid w:val="003F4525"/>
    <w:rsid w:val="003F5EEE"/>
    <w:rsid w:val="003F6045"/>
    <w:rsid w:val="003F7BFD"/>
    <w:rsid w:val="003F7DB8"/>
    <w:rsid w:val="004008DE"/>
    <w:rsid w:val="00403B8C"/>
    <w:rsid w:val="0040530F"/>
    <w:rsid w:val="00405337"/>
    <w:rsid w:val="00405DD2"/>
    <w:rsid w:val="00406C1D"/>
    <w:rsid w:val="00407E9F"/>
    <w:rsid w:val="00411742"/>
    <w:rsid w:val="00412B07"/>
    <w:rsid w:val="00420172"/>
    <w:rsid w:val="004215BE"/>
    <w:rsid w:val="00421614"/>
    <w:rsid w:val="00421BA2"/>
    <w:rsid w:val="00423759"/>
    <w:rsid w:val="00424B2D"/>
    <w:rsid w:val="00425506"/>
    <w:rsid w:val="00425652"/>
    <w:rsid w:val="00425EF2"/>
    <w:rsid w:val="00431FB2"/>
    <w:rsid w:val="00440C00"/>
    <w:rsid w:val="004427D2"/>
    <w:rsid w:val="004429E9"/>
    <w:rsid w:val="00443A90"/>
    <w:rsid w:val="00444A34"/>
    <w:rsid w:val="00444F07"/>
    <w:rsid w:val="00446925"/>
    <w:rsid w:val="00446BA8"/>
    <w:rsid w:val="00446BB4"/>
    <w:rsid w:val="00447249"/>
    <w:rsid w:val="004531EE"/>
    <w:rsid w:val="0045357F"/>
    <w:rsid w:val="00454443"/>
    <w:rsid w:val="0045495C"/>
    <w:rsid w:val="00460469"/>
    <w:rsid w:val="00462069"/>
    <w:rsid w:val="004620CC"/>
    <w:rsid w:val="00463F20"/>
    <w:rsid w:val="00466FB8"/>
    <w:rsid w:val="004708D4"/>
    <w:rsid w:val="00471058"/>
    <w:rsid w:val="0047161C"/>
    <w:rsid w:val="00471D13"/>
    <w:rsid w:val="00472909"/>
    <w:rsid w:val="00475EFC"/>
    <w:rsid w:val="00476BBE"/>
    <w:rsid w:val="00477C91"/>
    <w:rsid w:val="004805FF"/>
    <w:rsid w:val="004810C7"/>
    <w:rsid w:val="004813C5"/>
    <w:rsid w:val="004814E4"/>
    <w:rsid w:val="00481F25"/>
    <w:rsid w:val="00483719"/>
    <w:rsid w:val="00483B47"/>
    <w:rsid w:val="00483B86"/>
    <w:rsid w:val="00483E04"/>
    <w:rsid w:val="00486203"/>
    <w:rsid w:val="00486C32"/>
    <w:rsid w:val="004914C5"/>
    <w:rsid w:val="00491CA7"/>
    <w:rsid w:val="00491D21"/>
    <w:rsid w:val="00492060"/>
    <w:rsid w:val="004940D0"/>
    <w:rsid w:val="00497774"/>
    <w:rsid w:val="004A0C5C"/>
    <w:rsid w:val="004A0F5F"/>
    <w:rsid w:val="004A2291"/>
    <w:rsid w:val="004A2D8E"/>
    <w:rsid w:val="004A3E85"/>
    <w:rsid w:val="004A7257"/>
    <w:rsid w:val="004B044D"/>
    <w:rsid w:val="004B16DB"/>
    <w:rsid w:val="004B6831"/>
    <w:rsid w:val="004B6961"/>
    <w:rsid w:val="004B7898"/>
    <w:rsid w:val="004C1343"/>
    <w:rsid w:val="004C182D"/>
    <w:rsid w:val="004C1D14"/>
    <w:rsid w:val="004C1F23"/>
    <w:rsid w:val="004C265C"/>
    <w:rsid w:val="004C35D0"/>
    <w:rsid w:val="004C6CFF"/>
    <w:rsid w:val="004D3924"/>
    <w:rsid w:val="004D3EC6"/>
    <w:rsid w:val="004D5399"/>
    <w:rsid w:val="004E05B6"/>
    <w:rsid w:val="004E08C6"/>
    <w:rsid w:val="004E0AF2"/>
    <w:rsid w:val="004E1DB5"/>
    <w:rsid w:val="004E319F"/>
    <w:rsid w:val="004E32DC"/>
    <w:rsid w:val="004E3687"/>
    <w:rsid w:val="004E3C49"/>
    <w:rsid w:val="004E457D"/>
    <w:rsid w:val="004E5657"/>
    <w:rsid w:val="004E60F4"/>
    <w:rsid w:val="004E76C8"/>
    <w:rsid w:val="004E7E67"/>
    <w:rsid w:val="004F0B2B"/>
    <w:rsid w:val="004F1663"/>
    <w:rsid w:val="004F25EC"/>
    <w:rsid w:val="004F4521"/>
    <w:rsid w:val="004F4EB3"/>
    <w:rsid w:val="004F5545"/>
    <w:rsid w:val="005007F0"/>
    <w:rsid w:val="00502C56"/>
    <w:rsid w:val="005047BF"/>
    <w:rsid w:val="005049F7"/>
    <w:rsid w:val="00506991"/>
    <w:rsid w:val="00507133"/>
    <w:rsid w:val="00507C00"/>
    <w:rsid w:val="005113BF"/>
    <w:rsid w:val="00512203"/>
    <w:rsid w:val="005135F7"/>
    <w:rsid w:val="00514A3C"/>
    <w:rsid w:val="00515FFD"/>
    <w:rsid w:val="0051775C"/>
    <w:rsid w:val="00523C62"/>
    <w:rsid w:val="00525AFB"/>
    <w:rsid w:val="0052651B"/>
    <w:rsid w:val="00532569"/>
    <w:rsid w:val="00533C32"/>
    <w:rsid w:val="005346D2"/>
    <w:rsid w:val="00534823"/>
    <w:rsid w:val="00537323"/>
    <w:rsid w:val="00537749"/>
    <w:rsid w:val="00537E07"/>
    <w:rsid w:val="00540F12"/>
    <w:rsid w:val="005414DB"/>
    <w:rsid w:val="0054164F"/>
    <w:rsid w:val="00542F05"/>
    <w:rsid w:val="00544321"/>
    <w:rsid w:val="00544961"/>
    <w:rsid w:val="00544CA1"/>
    <w:rsid w:val="00547E27"/>
    <w:rsid w:val="005500B5"/>
    <w:rsid w:val="005521ED"/>
    <w:rsid w:val="00552AD6"/>
    <w:rsid w:val="0055448E"/>
    <w:rsid w:val="005545F2"/>
    <w:rsid w:val="00554F6F"/>
    <w:rsid w:val="0055682B"/>
    <w:rsid w:val="00556C9D"/>
    <w:rsid w:val="00560D70"/>
    <w:rsid w:val="0056149D"/>
    <w:rsid w:val="00563243"/>
    <w:rsid w:val="00563419"/>
    <w:rsid w:val="005637C0"/>
    <w:rsid w:val="005710D5"/>
    <w:rsid w:val="00575170"/>
    <w:rsid w:val="0057596F"/>
    <w:rsid w:val="00576CFF"/>
    <w:rsid w:val="0057705C"/>
    <w:rsid w:val="0057730B"/>
    <w:rsid w:val="00580014"/>
    <w:rsid w:val="00581CB2"/>
    <w:rsid w:val="005824C1"/>
    <w:rsid w:val="00585782"/>
    <w:rsid w:val="0058579D"/>
    <w:rsid w:val="0058595B"/>
    <w:rsid w:val="00585E63"/>
    <w:rsid w:val="00587ECB"/>
    <w:rsid w:val="00594488"/>
    <w:rsid w:val="005944AF"/>
    <w:rsid w:val="00594A06"/>
    <w:rsid w:val="00594F80"/>
    <w:rsid w:val="005970EE"/>
    <w:rsid w:val="005971D4"/>
    <w:rsid w:val="00597A6A"/>
    <w:rsid w:val="005A0564"/>
    <w:rsid w:val="005A0AEF"/>
    <w:rsid w:val="005A112F"/>
    <w:rsid w:val="005A225E"/>
    <w:rsid w:val="005A3103"/>
    <w:rsid w:val="005A3E1F"/>
    <w:rsid w:val="005A5B56"/>
    <w:rsid w:val="005A5D0C"/>
    <w:rsid w:val="005A6669"/>
    <w:rsid w:val="005A67D1"/>
    <w:rsid w:val="005A7FAA"/>
    <w:rsid w:val="005B0750"/>
    <w:rsid w:val="005B18DE"/>
    <w:rsid w:val="005B232B"/>
    <w:rsid w:val="005B2E68"/>
    <w:rsid w:val="005B3607"/>
    <w:rsid w:val="005B42CA"/>
    <w:rsid w:val="005B485F"/>
    <w:rsid w:val="005B5390"/>
    <w:rsid w:val="005B569A"/>
    <w:rsid w:val="005B5BCE"/>
    <w:rsid w:val="005B6151"/>
    <w:rsid w:val="005B6560"/>
    <w:rsid w:val="005B6C2C"/>
    <w:rsid w:val="005B7410"/>
    <w:rsid w:val="005C1015"/>
    <w:rsid w:val="005C1909"/>
    <w:rsid w:val="005C1AA1"/>
    <w:rsid w:val="005C429C"/>
    <w:rsid w:val="005C5A37"/>
    <w:rsid w:val="005C5C73"/>
    <w:rsid w:val="005C7897"/>
    <w:rsid w:val="005D0905"/>
    <w:rsid w:val="005D26C3"/>
    <w:rsid w:val="005D2BE2"/>
    <w:rsid w:val="005D30E8"/>
    <w:rsid w:val="005D32B4"/>
    <w:rsid w:val="005D3B28"/>
    <w:rsid w:val="005D6350"/>
    <w:rsid w:val="005D6F34"/>
    <w:rsid w:val="005D7A31"/>
    <w:rsid w:val="005E048F"/>
    <w:rsid w:val="005E1DD6"/>
    <w:rsid w:val="005E30DE"/>
    <w:rsid w:val="005E3165"/>
    <w:rsid w:val="005E391B"/>
    <w:rsid w:val="005E4333"/>
    <w:rsid w:val="005E4D0D"/>
    <w:rsid w:val="005E54B3"/>
    <w:rsid w:val="005E563C"/>
    <w:rsid w:val="005F0837"/>
    <w:rsid w:val="005F1B5E"/>
    <w:rsid w:val="005F24FF"/>
    <w:rsid w:val="005F3A29"/>
    <w:rsid w:val="005F41DA"/>
    <w:rsid w:val="005F5905"/>
    <w:rsid w:val="005F67FB"/>
    <w:rsid w:val="005F7D5B"/>
    <w:rsid w:val="005F7DD1"/>
    <w:rsid w:val="00600D39"/>
    <w:rsid w:val="0060132B"/>
    <w:rsid w:val="006037E0"/>
    <w:rsid w:val="006053A6"/>
    <w:rsid w:val="006053E4"/>
    <w:rsid w:val="00605445"/>
    <w:rsid w:val="00606793"/>
    <w:rsid w:val="00606B31"/>
    <w:rsid w:val="00606F4E"/>
    <w:rsid w:val="00611C37"/>
    <w:rsid w:val="00612940"/>
    <w:rsid w:val="00615AC9"/>
    <w:rsid w:val="00616E9A"/>
    <w:rsid w:val="00617635"/>
    <w:rsid w:val="00620DA8"/>
    <w:rsid w:val="00624893"/>
    <w:rsid w:val="006252A0"/>
    <w:rsid w:val="00625924"/>
    <w:rsid w:val="00626DBB"/>
    <w:rsid w:val="006277F1"/>
    <w:rsid w:val="00631236"/>
    <w:rsid w:val="00631AFE"/>
    <w:rsid w:val="0063212D"/>
    <w:rsid w:val="00632CDF"/>
    <w:rsid w:val="00633E0D"/>
    <w:rsid w:val="006354B8"/>
    <w:rsid w:val="006374B1"/>
    <w:rsid w:val="00640426"/>
    <w:rsid w:val="0064404E"/>
    <w:rsid w:val="00645B36"/>
    <w:rsid w:val="00645BD7"/>
    <w:rsid w:val="00645EC0"/>
    <w:rsid w:val="0064617C"/>
    <w:rsid w:val="00646357"/>
    <w:rsid w:val="00646661"/>
    <w:rsid w:val="00646FDA"/>
    <w:rsid w:val="00652C6E"/>
    <w:rsid w:val="00663900"/>
    <w:rsid w:val="0066448E"/>
    <w:rsid w:val="00664988"/>
    <w:rsid w:val="00665E26"/>
    <w:rsid w:val="006674FF"/>
    <w:rsid w:val="0067038D"/>
    <w:rsid w:val="00670783"/>
    <w:rsid w:val="00672A8B"/>
    <w:rsid w:val="0067549D"/>
    <w:rsid w:val="00676622"/>
    <w:rsid w:val="00676A63"/>
    <w:rsid w:val="00676BAA"/>
    <w:rsid w:val="00677B72"/>
    <w:rsid w:val="006806BF"/>
    <w:rsid w:val="006819DC"/>
    <w:rsid w:val="00681E7B"/>
    <w:rsid w:val="00682983"/>
    <w:rsid w:val="006838AD"/>
    <w:rsid w:val="00683FBA"/>
    <w:rsid w:val="0068783C"/>
    <w:rsid w:val="00687D48"/>
    <w:rsid w:val="006902EF"/>
    <w:rsid w:val="006904F5"/>
    <w:rsid w:val="00692490"/>
    <w:rsid w:val="00693FC6"/>
    <w:rsid w:val="006A117B"/>
    <w:rsid w:val="006A177E"/>
    <w:rsid w:val="006A1BEE"/>
    <w:rsid w:val="006A2674"/>
    <w:rsid w:val="006A2D9F"/>
    <w:rsid w:val="006A3129"/>
    <w:rsid w:val="006A4AE8"/>
    <w:rsid w:val="006A5200"/>
    <w:rsid w:val="006A58ED"/>
    <w:rsid w:val="006A741B"/>
    <w:rsid w:val="006B0213"/>
    <w:rsid w:val="006B235F"/>
    <w:rsid w:val="006B2574"/>
    <w:rsid w:val="006B301C"/>
    <w:rsid w:val="006B307B"/>
    <w:rsid w:val="006B5474"/>
    <w:rsid w:val="006B661E"/>
    <w:rsid w:val="006B68B6"/>
    <w:rsid w:val="006B7621"/>
    <w:rsid w:val="006C01C6"/>
    <w:rsid w:val="006C0A24"/>
    <w:rsid w:val="006C1D1C"/>
    <w:rsid w:val="006C262A"/>
    <w:rsid w:val="006C2A58"/>
    <w:rsid w:val="006C3594"/>
    <w:rsid w:val="006C5632"/>
    <w:rsid w:val="006C5BC9"/>
    <w:rsid w:val="006C60EE"/>
    <w:rsid w:val="006C6FD7"/>
    <w:rsid w:val="006D149A"/>
    <w:rsid w:val="006D1F42"/>
    <w:rsid w:val="006D2DE0"/>
    <w:rsid w:val="006D580F"/>
    <w:rsid w:val="006E04B9"/>
    <w:rsid w:val="006E1551"/>
    <w:rsid w:val="006E3FCF"/>
    <w:rsid w:val="006E4037"/>
    <w:rsid w:val="006F0B1A"/>
    <w:rsid w:val="006F148E"/>
    <w:rsid w:val="006F2BED"/>
    <w:rsid w:val="006F365F"/>
    <w:rsid w:val="006F4DA5"/>
    <w:rsid w:val="006F54A2"/>
    <w:rsid w:val="006F54A3"/>
    <w:rsid w:val="006F57F2"/>
    <w:rsid w:val="006F6706"/>
    <w:rsid w:val="006F6834"/>
    <w:rsid w:val="006F68FC"/>
    <w:rsid w:val="006F6A65"/>
    <w:rsid w:val="0070037A"/>
    <w:rsid w:val="00701580"/>
    <w:rsid w:val="00702316"/>
    <w:rsid w:val="00703502"/>
    <w:rsid w:val="00703675"/>
    <w:rsid w:val="00703728"/>
    <w:rsid w:val="00705C5A"/>
    <w:rsid w:val="00705D6A"/>
    <w:rsid w:val="00705DF6"/>
    <w:rsid w:val="00705FF2"/>
    <w:rsid w:val="00707211"/>
    <w:rsid w:val="00707F3E"/>
    <w:rsid w:val="00710A60"/>
    <w:rsid w:val="00710B6A"/>
    <w:rsid w:val="00711F9E"/>
    <w:rsid w:val="0071281E"/>
    <w:rsid w:val="007128BB"/>
    <w:rsid w:val="00712C1B"/>
    <w:rsid w:val="00713691"/>
    <w:rsid w:val="00714DA7"/>
    <w:rsid w:val="00714E79"/>
    <w:rsid w:val="00715E83"/>
    <w:rsid w:val="00717615"/>
    <w:rsid w:val="00717B83"/>
    <w:rsid w:val="0072056C"/>
    <w:rsid w:val="00720C29"/>
    <w:rsid w:val="00721F85"/>
    <w:rsid w:val="007224B4"/>
    <w:rsid w:val="007225B0"/>
    <w:rsid w:val="007227F9"/>
    <w:rsid w:val="00722E21"/>
    <w:rsid w:val="007236CD"/>
    <w:rsid w:val="007236D0"/>
    <w:rsid w:val="00723F5A"/>
    <w:rsid w:val="007254EC"/>
    <w:rsid w:val="007258D6"/>
    <w:rsid w:val="007261B3"/>
    <w:rsid w:val="00730262"/>
    <w:rsid w:val="007309E1"/>
    <w:rsid w:val="007326D3"/>
    <w:rsid w:val="007326DE"/>
    <w:rsid w:val="00733422"/>
    <w:rsid w:val="007337AF"/>
    <w:rsid w:val="00734D0D"/>
    <w:rsid w:val="007366DD"/>
    <w:rsid w:val="007372DA"/>
    <w:rsid w:val="00740A3D"/>
    <w:rsid w:val="00740BF7"/>
    <w:rsid w:val="0074279A"/>
    <w:rsid w:val="00742C2F"/>
    <w:rsid w:val="00742E9F"/>
    <w:rsid w:val="007447E0"/>
    <w:rsid w:val="00744C30"/>
    <w:rsid w:val="00745E99"/>
    <w:rsid w:val="007460C9"/>
    <w:rsid w:val="007463C2"/>
    <w:rsid w:val="007479C9"/>
    <w:rsid w:val="007503C5"/>
    <w:rsid w:val="00754981"/>
    <w:rsid w:val="00755ACB"/>
    <w:rsid w:val="00755B36"/>
    <w:rsid w:val="00760467"/>
    <w:rsid w:val="007610B2"/>
    <w:rsid w:val="00761969"/>
    <w:rsid w:val="00762CDB"/>
    <w:rsid w:val="00766493"/>
    <w:rsid w:val="00766B6A"/>
    <w:rsid w:val="00767201"/>
    <w:rsid w:val="007674F2"/>
    <w:rsid w:val="00767CCA"/>
    <w:rsid w:val="00767FFD"/>
    <w:rsid w:val="007702BF"/>
    <w:rsid w:val="0077044A"/>
    <w:rsid w:val="00770490"/>
    <w:rsid w:val="0077093D"/>
    <w:rsid w:val="00772779"/>
    <w:rsid w:val="00774621"/>
    <w:rsid w:val="00774828"/>
    <w:rsid w:val="00774FFD"/>
    <w:rsid w:val="0077518B"/>
    <w:rsid w:val="00776A28"/>
    <w:rsid w:val="00777F73"/>
    <w:rsid w:val="00780236"/>
    <w:rsid w:val="007805E8"/>
    <w:rsid w:val="00780626"/>
    <w:rsid w:val="007820AF"/>
    <w:rsid w:val="0078210B"/>
    <w:rsid w:val="00783AEA"/>
    <w:rsid w:val="00784033"/>
    <w:rsid w:val="00784694"/>
    <w:rsid w:val="0078498E"/>
    <w:rsid w:val="00784C3F"/>
    <w:rsid w:val="007860F1"/>
    <w:rsid w:val="00786C4C"/>
    <w:rsid w:val="00787611"/>
    <w:rsid w:val="00790080"/>
    <w:rsid w:val="00790229"/>
    <w:rsid w:val="00790CA8"/>
    <w:rsid w:val="00790D67"/>
    <w:rsid w:val="00790E82"/>
    <w:rsid w:val="00791191"/>
    <w:rsid w:val="00792F6F"/>
    <w:rsid w:val="00795574"/>
    <w:rsid w:val="007958FD"/>
    <w:rsid w:val="0079613D"/>
    <w:rsid w:val="00796303"/>
    <w:rsid w:val="00796B5B"/>
    <w:rsid w:val="007A243A"/>
    <w:rsid w:val="007A2B8D"/>
    <w:rsid w:val="007A2B96"/>
    <w:rsid w:val="007A5E0D"/>
    <w:rsid w:val="007A65B6"/>
    <w:rsid w:val="007A68BC"/>
    <w:rsid w:val="007A6D8C"/>
    <w:rsid w:val="007B007C"/>
    <w:rsid w:val="007B00E3"/>
    <w:rsid w:val="007B1575"/>
    <w:rsid w:val="007B2D40"/>
    <w:rsid w:val="007B57EF"/>
    <w:rsid w:val="007B6F4B"/>
    <w:rsid w:val="007C12F4"/>
    <w:rsid w:val="007C1CCD"/>
    <w:rsid w:val="007C34E5"/>
    <w:rsid w:val="007C4191"/>
    <w:rsid w:val="007C42F0"/>
    <w:rsid w:val="007C51FC"/>
    <w:rsid w:val="007C6A64"/>
    <w:rsid w:val="007C6E1D"/>
    <w:rsid w:val="007C7862"/>
    <w:rsid w:val="007D37CF"/>
    <w:rsid w:val="007D4EB0"/>
    <w:rsid w:val="007D5777"/>
    <w:rsid w:val="007E00C7"/>
    <w:rsid w:val="007E1E33"/>
    <w:rsid w:val="007E39A2"/>
    <w:rsid w:val="007E4661"/>
    <w:rsid w:val="007E4D46"/>
    <w:rsid w:val="007E5315"/>
    <w:rsid w:val="007F0080"/>
    <w:rsid w:val="007F1236"/>
    <w:rsid w:val="007F256D"/>
    <w:rsid w:val="007F3F52"/>
    <w:rsid w:val="007F58A5"/>
    <w:rsid w:val="007F5D46"/>
    <w:rsid w:val="007F5DAE"/>
    <w:rsid w:val="007F5EE7"/>
    <w:rsid w:val="007F7A16"/>
    <w:rsid w:val="008003DF"/>
    <w:rsid w:val="00800DC0"/>
    <w:rsid w:val="00801613"/>
    <w:rsid w:val="00804CB7"/>
    <w:rsid w:val="008050E8"/>
    <w:rsid w:val="00805268"/>
    <w:rsid w:val="00805866"/>
    <w:rsid w:val="008133D7"/>
    <w:rsid w:val="00814C4E"/>
    <w:rsid w:val="00814EE7"/>
    <w:rsid w:val="008201FD"/>
    <w:rsid w:val="008202EA"/>
    <w:rsid w:val="00825FB6"/>
    <w:rsid w:val="00826767"/>
    <w:rsid w:val="008343ED"/>
    <w:rsid w:val="0083541E"/>
    <w:rsid w:val="008365DA"/>
    <w:rsid w:val="008402DD"/>
    <w:rsid w:val="00840F61"/>
    <w:rsid w:val="0084171E"/>
    <w:rsid w:val="0084182C"/>
    <w:rsid w:val="00843069"/>
    <w:rsid w:val="00843493"/>
    <w:rsid w:val="0084369C"/>
    <w:rsid w:val="00844F16"/>
    <w:rsid w:val="00845B4E"/>
    <w:rsid w:val="008478EB"/>
    <w:rsid w:val="008521E1"/>
    <w:rsid w:val="00854C2D"/>
    <w:rsid w:val="0086113E"/>
    <w:rsid w:val="00861F9F"/>
    <w:rsid w:val="008624FE"/>
    <w:rsid w:val="008635B3"/>
    <w:rsid w:val="00865378"/>
    <w:rsid w:val="008657AB"/>
    <w:rsid w:val="00865F7C"/>
    <w:rsid w:val="008673F0"/>
    <w:rsid w:val="00870CB4"/>
    <w:rsid w:val="00872E21"/>
    <w:rsid w:val="00873D97"/>
    <w:rsid w:val="00873F0E"/>
    <w:rsid w:val="0087413C"/>
    <w:rsid w:val="00874250"/>
    <w:rsid w:val="0087447F"/>
    <w:rsid w:val="008760E2"/>
    <w:rsid w:val="00880EFA"/>
    <w:rsid w:val="008810A0"/>
    <w:rsid w:val="00883632"/>
    <w:rsid w:val="00883EAC"/>
    <w:rsid w:val="00886E4C"/>
    <w:rsid w:val="00887786"/>
    <w:rsid w:val="00887F96"/>
    <w:rsid w:val="008904CB"/>
    <w:rsid w:val="00890AA3"/>
    <w:rsid w:val="008915A1"/>
    <w:rsid w:val="008928A7"/>
    <w:rsid w:val="008949CA"/>
    <w:rsid w:val="00896983"/>
    <w:rsid w:val="00897841"/>
    <w:rsid w:val="00897A05"/>
    <w:rsid w:val="008A113F"/>
    <w:rsid w:val="008A16EE"/>
    <w:rsid w:val="008A1D35"/>
    <w:rsid w:val="008A217E"/>
    <w:rsid w:val="008A219E"/>
    <w:rsid w:val="008A3DC9"/>
    <w:rsid w:val="008A3E2E"/>
    <w:rsid w:val="008A64FA"/>
    <w:rsid w:val="008A761D"/>
    <w:rsid w:val="008A79D0"/>
    <w:rsid w:val="008A7C87"/>
    <w:rsid w:val="008A7F47"/>
    <w:rsid w:val="008B0631"/>
    <w:rsid w:val="008B0A2D"/>
    <w:rsid w:val="008B0C51"/>
    <w:rsid w:val="008B18E5"/>
    <w:rsid w:val="008B2FED"/>
    <w:rsid w:val="008B4B9B"/>
    <w:rsid w:val="008B576D"/>
    <w:rsid w:val="008B7F4B"/>
    <w:rsid w:val="008C0213"/>
    <w:rsid w:val="008C0DAC"/>
    <w:rsid w:val="008C130A"/>
    <w:rsid w:val="008C2F8D"/>
    <w:rsid w:val="008C3F10"/>
    <w:rsid w:val="008C40BC"/>
    <w:rsid w:val="008C5660"/>
    <w:rsid w:val="008C6DE7"/>
    <w:rsid w:val="008D087A"/>
    <w:rsid w:val="008D14AF"/>
    <w:rsid w:val="008D2799"/>
    <w:rsid w:val="008D3737"/>
    <w:rsid w:val="008D5067"/>
    <w:rsid w:val="008D5166"/>
    <w:rsid w:val="008D5570"/>
    <w:rsid w:val="008D5A30"/>
    <w:rsid w:val="008D63EB"/>
    <w:rsid w:val="008E14A9"/>
    <w:rsid w:val="008E4C6D"/>
    <w:rsid w:val="008E5825"/>
    <w:rsid w:val="008E5DEA"/>
    <w:rsid w:val="008E6D9F"/>
    <w:rsid w:val="008E7E37"/>
    <w:rsid w:val="008F0107"/>
    <w:rsid w:val="008F0445"/>
    <w:rsid w:val="008F1955"/>
    <w:rsid w:val="008F2D60"/>
    <w:rsid w:val="008F35C3"/>
    <w:rsid w:val="008F38F0"/>
    <w:rsid w:val="008F4082"/>
    <w:rsid w:val="008F443A"/>
    <w:rsid w:val="008F509E"/>
    <w:rsid w:val="00900F4B"/>
    <w:rsid w:val="00900FB5"/>
    <w:rsid w:val="0090212C"/>
    <w:rsid w:val="00903E3F"/>
    <w:rsid w:val="00904BF9"/>
    <w:rsid w:val="00904FC0"/>
    <w:rsid w:val="009109C4"/>
    <w:rsid w:val="009142D9"/>
    <w:rsid w:val="0091449C"/>
    <w:rsid w:val="009205DC"/>
    <w:rsid w:val="00920906"/>
    <w:rsid w:val="00922BAD"/>
    <w:rsid w:val="009239B5"/>
    <w:rsid w:val="00924998"/>
    <w:rsid w:val="0092611D"/>
    <w:rsid w:val="00926441"/>
    <w:rsid w:val="00926F35"/>
    <w:rsid w:val="00927B04"/>
    <w:rsid w:val="00930584"/>
    <w:rsid w:val="00930884"/>
    <w:rsid w:val="00930924"/>
    <w:rsid w:val="009315FB"/>
    <w:rsid w:val="00932005"/>
    <w:rsid w:val="00932244"/>
    <w:rsid w:val="00934BA5"/>
    <w:rsid w:val="00935664"/>
    <w:rsid w:val="00935EE9"/>
    <w:rsid w:val="00943071"/>
    <w:rsid w:val="009440A9"/>
    <w:rsid w:val="00944F27"/>
    <w:rsid w:val="0094662A"/>
    <w:rsid w:val="009466BA"/>
    <w:rsid w:val="00947AF7"/>
    <w:rsid w:val="00953084"/>
    <w:rsid w:val="00954057"/>
    <w:rsid w:val="00955E5E"/>
    <w:rsid w:val="009575D0"/>
    <w:rsid w:val="00960127"/>
    <w:rsid w:val="009625F8"/>
    <w:rsid w:val="00964528"/>
    <w:rsid w:val="009646D8"/>
    <w:rsid w:val="00964A4C"/>
    <w:rsid w:val="00964D57"/>
    <w:rsid w:val="00964DD3"/>
    <w:rsid w:val="00965632"/>
    <w:rsid w:val="00965D01"/>
    <w:rsid w:val="009666FC"/>
    <w:rsid w:val="009667D2"/>
    <w:rsid w:val="009737EB"/>
    <w:rsid w:val="00973A4F"/>
    <w:rsid w:val="009741B0"/>
    <w:rsid w:val="00974B8C"/>
    <w:rsid w:val="009755AB"/>
    <w:rsid w:val="00977365"/>
    <w:rsid w:val="00977399"/>
    <w:rsid w:val="00977E13"/>
    <w:rsid w:val="00977E84"/>
    <w:rsid w:val="009803F6"/>
    <w:rsid w:val="00980C83"/>
    <w:rsid w:val="00982B9D"/>
    <w:rsid w:val="00983BFB"/>
    <w:rsid w:val="009840B8"/>
    <w:rsid w:val="00984767"/>
    <w:rsid w:val="009850F9"/>
    <w:rsid w:val="009853F3"/>
    <w:rsid w:val="00985D50"/>
    <w:rsid w:val="009869DB"/>
    <w:rsid w:val="009871F0"/>
    <w:rsid w:val="0098734B"/>
    <w:rsid w:val="00990D72"/>
    <w:rsid w:val="0099218E"/>
    <w:rsid w:val="0099274D"/>
    <w:rsid w:val="0099356C"/>
    <w:rsid w:val="0099749A"/>
    <w:rsid w:val="009A1802"/>
    <w:rsid w:val="009A3E61"/>
    <w:rsid w:val="009A6462"/>
    <w:rsid w:val="009B014B"/>
    <w:rsid w:val="009B33C6"/>
    <w:rsid w:val="009B50D3"/>
    <w:rsid w:val="009C1C77"/>
    <w:rsid w:val="009C2C58"/>
    <w:rsid w:val="009C3243"/>
    <w:rsid w:val="009C450E"/>
    <w:rsid w:val="009C48C3"/>
    <w:rsid w:val="009C569D"/>
    <w:rsid w:val="009C7BF4"/>
    <w:rsid w:val="009D1429"/>
    <w:rsid w:val="009D17F4"/>
    <w:rsid w:val="009D2945"/>
    <w:rsid w:val="009D3D17"/>
    <w:rsid w:val="009D410F"/>
    <w:rsid w:val="009D5D96"/>
    <w:rsid w:val="009E0E0F"/>
    <w:rsid w:val="009E22B8"/>
    <w:rsid w:val="009E257C"/>
    <w:rsid w:val="009E317F"/>
    <w:rsid w:val="009E5083"/>
    <w:rsid w:val="009E521A"/>
    <w:rsid w:val="009E6F8D"/>
    <w:rsid w:val="009F0CA4"/>
    <w:rsid w:val="009F7FF6"/>
    <w:rsid w:val="00A007EC"/>
    <w:rsid w:val="00A02944"/>
    <w:rsid w:val="00A02BA6"/>
    <w:rsid w:val="00A032BF"/>
    <w:rsid w:val="00A03DBC"/>
    <w:rsid w:val="00A063C5"/>
    <w:rsid w:val="00A07B45"/>
    <w:rsid w:val="00A11BB2"/>
    <w:rsid w:val="00A145F5"/>
    <w:rsid w:val="00A15565"/>
    <w:rsid w:val="00A1580C"/>
    <w:rsid w:val="00A1767B"/>
    <w:rsid w:val="00A176A0"/>
    <w:rsid w:val="00A219CA"/>
    <w:rsid w:val="00A21AE4"/>
    <w:rsid w:val="00A22D4C"/>
    <w:rsid w:val="00A22F72"/>
    <w:rsid w:val="00A22F92"/>
    <w:rsid w:val="00A2417C"/>
    <w:rsid w:val="00A24314"/>
    <w:rsid w:val="00A256A1"/>
    <w:rsid w:val="00A27976"/>
    <w:rsid w:val="00A30355"/>
    <w:rsid w:val="00A30968"/>
    <w:rsid w:val="00A318DF"/>
    <w:rsid w:val="00A324C6"/>
    <w:rsid w:val="00A326DD"/>
    <w:rsid w:val="00A3409E"/>
    <w:rsid w:val="00A34933"/>
    <w:rsid w:val="00A41A42"/>
    <w:rsid w:val="00A42680"/>
    <w:rsid w:val="00A431E4"/>
    <w:rsid w:val="00A44B21"/>
    <w:rsid w:val="00A44C93"/>
    <w:rsid w:val="00A44E8F"/>
    <w:rsid w:val="00A466AD"/>
    <w:rsid w:val="00A5019C"/>
    <w:rsid w:val="00A508EA"/>
    <w:rsid w:val="00A50CA2"/>
    <w:rsid w:val="00A55DE8"/>
    <w:rsid w:val="00A568AD"/>
    <w:rsid w:val="00A56B8C"/>
    <w:rsid w:val="00A606E0"/>
    <w:rsid w:val="00A60916"/>
    <w:rsid w:val="00A6140E"/>
    <w:rsid w:val="00A61D9F"/>
    <w:rsid w:val="00A62048"/>
    <w:rsid w:val="00A62F12"/>
    <w:rsid w:val="00A64066"/>
    <w:rsid w:val="00A646D3"/>
    <w:rsid w:val="00A657F6"/>
    <w:rsid w:val="00A65D64"/>
    <w:rsid w:val="00A67288"/>
    <w:rsid w:val="00A6785D"/>
    <w:rsid w:val="00A7058F"/>
    <w:rsid w:val="00A70A12"/>
    <w:rsid w:val="00A70DED"/>
    <w:rsid w:val="00A71597"/>
    <w:rsid w:val="00A71D28"/>
    <w:rsid w:val="00A7274B"/>
    <w:rsid w:val="00A72F0B"/>
    <w:rsid w:val="00A74307"/>
    <w:rsid w:val="00A74F0F"/>
    <w:rsid w:val="00A75D4B"/>
    <w:rsid w:val="00A762F8"/>
    <w:rsid w:val="00A770C2"/>
    <w:rsid w:val="00A8114A"/>
    <w:rsid w:val="00A81346"/>
    <w:rsid w:val="00A81901"/>
    <w:rsid w:val="00A82724"/>
    <w:rsid w:val="00A84589"/>
    <w:rsid w:val="00A84937"/>
    <w:rsid w:val="00A8560F"/>
    <w:rsid w:val="00A85990"/>
    <w:rsid w:val="00A859C6"/>
    <w:rsid w:val="00A864ED"/>
    <w:rsid w:val="00A877B9"/>
    <w:rsid w:val="00A87838"/>
    <w:rsid w:val="00A9098A"/>
    <w:rsid w:val="00A90F31"/>
    <w:rsid w:val="00A91351"/>
    <w:rsid w:val="00A930DF"/>
    <w:rsid w:val="00A93823"/>
    <w:rsid w:val="00A94832"/>
    <w:rsid w:val="00A95E11"/>
    <w:rsid w:val="00A960E1"/>
    <w:rsid w:val="00A961E7"/>
    <w:rsid w:val="00AA03C4"/>
    <w:rsid w:val="00AA1A3E"/>
    <w:rsid w:val="00AA21A5"/>
    <w:rsid w:val="00AA4AEE"/>
    <w:rsid w:val="00AA5240"/>
    <w:rsid w:val="00AA6F4A"/>
    <w:rsid w:val="00AB43E5"/>
    <w:rsid w:val="00AB4819"/>
    <w:rsid w:val="00AB6919"/>
    <w:rsid w:val="00AC140B"/>
    <w:rsid w:val="00AC2A77"/>
    <w:rsid w:val="00AC3C53"/>
    <w:rsid w:val="00AC3FAA"/>
    <w:rsid w:val="00AC516C"/>
    <w:rsid w:val="00AC5CA7"/>
    <w:rsid w:val="00AC63FF"/>
    <w:rsid w:val="00AC6AED"/>
    <w:rsid w:val="00AC79FD"/>
    <w:rsid w:val="00AD0A3E"/>
    <w:rsid w:val="00AD0C97"/>
    <w:rsid w:val="00AD0E8C"/>
    <w:rsid w:val="00AD245E"/>
    <w:rsid w:val="00AD444A"/>
    <w:rsid w:val="00AD5602"/>
    <w:rsid w:val="00AE0DD7"/>
    <w:rsid w:val="00AE1C62"/>
    <w:rsid w:val="00AE2979"/>
    <w:rsid w:val="00AE30A3"/>
    <w:rsid w:val="00AE38C9"/>
    <w:rsid w:val="00AE3D51"/>
    <w:rsid w:val="00AE4571"/>
    <w:rsid w:val="00AE5411"/>
    <w:rsid w:val="00AE5565"/>
    <w:rsid w:val="00AE58C5"/>
    <w:rsid w:val="00AE5CF0"/>
    <w:rsid w:val="00AE60DB"/>
    <w:rsid w:val="00AE7263"/>
    <w:rsid w:val="00AE7E2F"/>
    <w:rsid w:val="00AF1CD8"/>
    <w:rsid w:val="00AF2F87"/>
    <w:rsid w:val="00AF40F0"/>
    <w:rsid w:val="00AF4C2F"/>
    <w:rsid w:val="00B03EE7"/>
    <w:rsid w:val="00B03F71"/>
    <w:rsid w:val="00B04BE3"/>
    <w:rsid w:val="00B05434"/>
    <w:rsid w:val="00B05750"/>
    <w:rsid w:val="00B0637A"/>
    <w:rsid w:val="00B06A4E"/>
    <w:rsid w:val="00B10B5F"/>
    <w:rsid w:val="00B129DF"/>
    <w:rsid w:val="00B14511"/>
    <w:rsid w:val="00B14617"/>
    <w:rsid w:val="00B14FBC"/>
    <w:rsid w:val="00B15FF6"/>
    <w:rsid w:val="00B17ED2"/>
    <w:rsid w:val="00B2047A"/>
    <w:rsid w:val="00B2156F"/>
    <w:rsid w:val="00B23522"/>
    <w:rsid w:val="00B243B6"/>
    <w:rsid w:val="00B25AF9"/>
    <w:rsid w:val="00B25B4A"/>
    <w:rsid w:val="00B27164"/>
    <w:rsid w:val="00B308A4"/>
    <w:rsid w:val="00B32895"/>
    <w:rsid w:val="00B33B31"/>
    <w:rsid w:val="00B34191"/>
    <w:rsid w:val="00B346AB"/>
    <w:rsid w:val="00B34E4C"/>
    <w:rsid w:val="00B34FC1"/>
    <w:rsid w:val="00B3531F"/>
    <w:rsid w:val="00B35DB2"/>
    <w:rsid w:val="00B37669"/>
    <w:rsid w:val="00B37B47"/>
    <w:rsid w:val="00B4115F"/>
    <w:rsid w:val="00B41B5D"/>
    <w:rsid w:val="00B42EC0"/>
    <w:rsid w:val="00B4449A"/>
    <w:rsid w:val="00B4547D"/>
    <w:rsid w:val="00B46502"/>
    <w:rsid w:val="00B51DE5"/>
    <w:rsid w:val="00B527FD"/>
    <w:rsid w:val="00B52EE7"/>
    <w:rsid w:val="00B54666"/>
    <w:rsid w:val="00B54C16"/>
    <w:rsid w:val="00B54D20"/>
    <w:rsid w:val="00B54FED"/>
    <w:rsid w:val="00B55B11"/>
    <w:rsid w:val="00B601F2"/>
    <w:rsid w:val="00B60E5A"/>
    <w:rsid w:val="00B612F3"/>
    <w:rsid w:val="00B636FF"/>
    <w:rsid w:val="00B6438E"/>
    <w:rsid w:val="00B6546D"/>
    <w:rsid w:val="00B670E0"/>
    <w:rsid w:val="00B675D2"/>
    <w:rsid w:val="00B67AC3"/>
    <w:rsid w:val="00B706A9"/>
    <w:rsid w:val="00B709A5"/>
    <w:rsid w:val="00B70B50"/>
    <w:rsid w:val="00B70C2C"/>
    <w:rsid w:val="00B72071"/>
    <w:rsid w:val="00B73963"/>
    <w:rsid w:val="00B82C53"/>
    <w:rsid w:val="00B839AF"/>
    <w:rsid w:val="00B847D7"/>
    <w:rsid w:val="00B85981"/>
    <w:rsid w:val="00B86923"/>
    <w:rsid w:val="00B8772D"/>
    <w:rsid w:val="00B9150F"/>
    <w:rsid w:val="00B934B7"/>
    <w:rsid w:val="00B93B1C"/>
    <w:rsid w:val="00B969F8"/>
    <w:rsid w:val="00BA12E7"/>
    <w:rsid w:val="00BA1590"/>
    <w:rsid w:val="00BA19BA"/>
    <w:rsid w:val="00BA1E73"/>
    <w:rsid w:val="00BA27C1"/>
    <w:rsid w:val="00BA298B"/>
    <w:rsid w:val="00BA5A85"/>
    <w:rsid w:val="00BA6A1F"/>
    <w:rsid w:val="00BA70A1"/>
    <w:rsid w:val="00BA7171"/>
    <w:rsid w:val="00BB020B"/>
    <w:rsid w:val="00BB0A3C"/>
    <w:rsid w:val="00BB0EEF"/>
    <w:rsid w:val="00BB1329"/>
    <w:rsid w:val="00BB1E49"/>
    <w:rsid w:val="00BB2065"/>
    <w:rsid w:val="00BB2EF4"/>
    <w:rsid w:val="00BB3972"/>
    <w:rsid w:val="00BB42E3"/>
    <w:rsid w:val="00BB43D7"/>
    <w:rsid w:val="00BB546B"/>
    <w:rsid w:val="00BB65DD"/>
    <w:rsid w:val="00BB71F5"/>
    <w:rsid w:val="00BB7B2E"/>
    <w:rsid w:val="00BC0C9A"/>
    <w:rsid w:val="00BC0DBB"/>
    <w:rsid w:val="00BC1A0A"/>
    <w:rsid w:val="00BC1C44"/>
    <w:rsid w:val="00BC1E90"/>
    <w:rsid w:val="00BC1FB0"/>
    <w:rsid w:val="00BC2D32"/>
    <w:rsid w:val="00BC4BB1"/>
    <w:rsid w:val="00BC535C"/>
    <w:rsid w:val="00BC6038"/>
    <w:rsid w:val="00BC7A52"/>
    <w:rsid w:val="00BC7C33"/>
    <w:rsid w:val="00BD2420"/>
    <w:rsid w:val="00BD581C"/>
    <w:rsid w:val="00BD7F5F"/>
    <w:rsid w:val="00BE01D0"/>
    <w:rsid w:val="00BE01DE"/>
    <w:rsid w:val="00BE1177"/>
    <w:rsid w:val="00BE15EE"/>
    <w:rsid w:val="00BE439F"/>
    <w:rsid w:val="00BE4C4C"/>
    <w:rsid w:val="00BE53CC"/>
    <w:rsid w:val="00BE56B8"/>
    <w:rsid w:val="00BE61F7"/>
    <w:rsid w:val="00BE73D3"/>
    <w:rsid w:val="00BE75F6"/>
    <w:rsid w:val="00BF0189"/>
    <w:rsid w:val="00BF12A0"/>
    <w:rsid w:val="00BF334B"/>
    <w:rsid w:val="00BF378E"/>
    <w:rsid w:val="00BF446E"/>
    <w:rsid w:val="00BF5120"/>
    <w:rsid w:val="00BF5772"/>
    <w:rsid w:val="00C0050A"/>
    <w:rsid w:val="00C00862"/>
    <w:rsid w:val="00C00E91"/>
    <w:rsid w:val="00C00EE2"/>
    <w:rsid w:val="00C04121"/>
    <w:rsid w:val="00C05173"/>
    <w:rsid w:val="00C06896"/>
    <w:rsid w:val="00C06945"/>
    <w:rsid w:val="00C06ECA"/>
    <w:rsid w:val="00C07399"/>
    <w:rsid w:val="00C11C69"/>
    <w:rsid w:val="00C12A32"/>
    <w:rsid w:val="00C13830"/>
    <w:rsid w:val="00C14EA9"/>
    <w:rsid w:val="00C15009"/>
    <w:rsid w:val="00C16E83"/>
    <w:rsid w:val="00C17495"/>
    <w:rsid w:val="00C17554"/>
    <w:rsid w:val="00C17CE8"/>
    <w:rsid w:val="00C2141D"/>
    <w:rsid w:val="00C21E0E"/>
    <w:rsid w:val="00C22600"/>
    <w:rsid w:val="00C22ECC"/>
    <w:rsid w:val="00C23D1A"/>
    <w:rsid w:val="00C24B94"/>
    <w:rsid w:val="00C25557"/>
    <w:rsid w:val="00C26892"/>
    <w:rsid w:val="00C277CB"/>
    <w:rsid w:val="00C3092C"/>
    <w:rsid w:val="00C31B03"/>
    <w:rsid w:val="00C374D9"/>
    <w:rsid w:val="00C379C8"/>
    <w:rsid w:val="00C40B32"/>
    <w:rsid w:val="00C415EC"/>
    <w:rsid w:val="00C435DB"/>
    <w:rsid w:val="00C4617A"/>
    <w:rsid w:val="00C462B3"/>
    <w:rsid w:val="00C4764D"/>
    <w:rsid w:val="00C519FD"/>
    <w:rsid w:val="00C51E26"/>
    <w:rsid w:val="00C53BFE"/>
    <w:rsid w:val="00C5495E"/>
    <w:rsid w:val="00C54A23"/>
    <w:rsid w:val="00C54D96"/>
    <w:rsid w:val="00C55802"/>
    <w:rsid w:val="00C57754"/>
    <w:rsid w:val="00C57758"/>
    <w:rsid w:val="00C57E57"/>
    <w:rsid w:val="00C57FC6"/>
    <w:rsid w:val="00C602B8"/>
    <w:rsid w:val="00C60A85"/>
    <w:rsid w:val="00C61A74"/>
    <w:rsid w:val="00C655D8"/>
    <w:rsid w:val="00C66FA4"/>
    <w:rsid w:val="00C739EA"/>
    <w:rsid w:val="00C73F79"/>
    <w:rsid w:val="00C74377"/>
    <w:rsid w:val="00C749E3"/>
    <w:rsid w:val="00C75076"/>
    <w:rsid w:val="00C755FF"/>
    <w:rsid w:val="00C77164"/>
    <w:rsid w:val="00C773F2"/>
    <w:rsid w:val="00C77DB3"/>
    <w:rsid w:val="00C80D57"/>
    <w:rsid w:val="00C8217D"/>
    <w:rsid w:val="00C838A5"/>
    <w:rsid w:val="00C86447"/>
    <w:rsid w:val="00C90598"/>
    <w:rsid w:val="00C91FF0"/>
    <w:rsid w:val="00C925A0"/>
    <w:rsid w:val="00C93FC4"/>
    <w:rsid w:val="00C94C8C"/>
    <w:rsid w:val="00C9561B"/>
    <w:rsid w:val="00C95DE2"/>
    <w:rsid w:val="00C96477"/>
    <w:rsid w:val="00C96971"/>
    <w:rsid w:val="00C96D74"/>
    <w:rsid w:val="00C973E8"/>
    <w:rsid w:val="00C977D4"/>
    <w:rsid w:val="00C97C72"/>
    <w:rsid w:val="00CA0282"/>
    <w:rsid w:val="00CA1C4A"/>
    <w:rsid w:val="00CA240D"/>
    <w:rsid w:val="00CA2779"/>
    <w:rsid w:val="00CA337D"/>
    <w:rsid w:val="00CA3A23"/>
    <w:rsid w:val="00CA3A4A"/>
    <w:rsid w:val="00CA3B10"/>
    <w:rsid w:val="00CA5A0C"/>
    <w:rsid w:val="00CA6180"/>
    <w:rsid w:val="00CA66D4"/>
    <w:rsid w:val="00CA6C20"/>
    <w:rsid w:val="00CA7834"/>
    <w:rsid w:val="00CA79DC"/>
    <w:rsid w:val="00CA7F4A"/>
    <w:rsid w:val="00CB1C22"/>
    <w:rsid w:val="00CB1E4D"/>
    <w:rsid w:val="00CB5B08"/>
    <w:rsid w:val="00CB5B4D"/>
    <w:rsid w:val="00CC0803"/>
    <w:rsid w:val="00CC1801"/>
    <w:rsid w:val="00CC4630"/>
    <w:rsid w:val="00CC51CD"/>
    <w:rsid w:val="00CC5E08"/>
    <w:rsid w:val="00CC6006"/>
    <w:rsid w:val="00CC6E4A"/>
    <w:rsid w:val="00CC7B7E"/>
    <w:rsid w:val="00CD00D3"/>
    <w:rsid w:val="00CD00D8"/>
    <w:rsid w:val="00CD09D5"/>
    <w:rsid w:val="00CD2FF1"/>
    <w:rsid w:val="00CD3C44"/>
    <w:rsid w:val="00CD6AF1"/>
    <w:rsid w:val="00CD6B1C"/>
    <w:rsid w:val="00CD6B48"/>
    <w:rsid w:val="00CE01F9"/>
    <w:rsid w:val="00CE0DDC"/>
    <w:rsid w:val="00CE2ECA"/>
    <w:rsid w:val="00CE504B"/>
    <w:rsid w:val="00CE5463"/>
    <w:rsid w:val="00CE57C8"/>
    <w:rsid w:val="00CF04C1"/>
    <w:rsid w:val="00CF1D5B"/>
    <w:rsid w:val="00CF1E15"/>
    <w:rsid w:val="00CF2026"/>
    <w:rsid w:val="00CF27CB"/>
    <w:rsid w:val="00CF2E9C"/>
    <w:rsid w:val="00CF32C1"/>
    <w:rsid w:val="00CF3EDB"/>
    <w:rsid w:val="00CF4467"/>
    <w:rsid w:val="00CF774D"/>
    <w:rsid w:val="00D0011F"/>
    <w:rsid w:val="00D0067D"/>
    <w:rsid w:val="00D008E2"/>
    <w:rsid w:val="00D0094F"/>
    <w:rsid w:val="00D01486"/>
    <w:rsid w:val="00D02614"/>
    <w:rsid w:val="00D02F56"/>
    <w:rsid w:val="00D05262"/>
    <w:rsid w:val="00D0559C"/>
    <w:rsid w:val="00D06E51"/>
    <w:rsid w:val="00D075A5"/>
    <w:rsid w:val="00D13AB3"/>
    <w:rsid w:val="00D14920"/>
    <w:rsid w:val="00D15122"/>
    <w:rsid w:val="00D15BFB"/>
    <w:rsid w:val="00D1628E"/>
    <w:rsid w:val="00D20AA7"/>
    <w:rsid w:val="00D21D31"/>
    <w:rsid w:val="00D21F75"/>
    <w:rsid w:val="00D22E37"/>
    <w:rsid w:val="00D2330D"/>
    <w:rsid w:val="00D241DF"/>
    <w:rsid w:val="00D24A48"/>
    <w:rsid w:val="00D24E92"/>
    <w:rsid w:val="00D25DB2"/>
    <w:rsid w:val="00D26BFA"/>
    <w:rsid w:val="00D27080"/>
    <w:rsid w:val="00D304A3"/>
    <w:rsid w:val="00D31178"/>
    <w:rsid w:val="00D31954"/>
    <w:rsid w:val="00D332D3"/>
    <w:rsid w:val="00D335E0"/>
    <w:rsid w:val="00D3429E"/>
    <w:rsid w:val="00D35513"/>
    <w:rsid w:val="00D36651"/>
    <w:rsid w:val="00D36899"/>
    <w:rsid w:val="00D37349"/>
    <w:rsid w:val="00D40215"/>
    <w:rsid w:val="00D409C2"/>
    <w:rsid w:val="00D410F2"/>
    <w:rsid w:val="00D43409"/>
    <w:rsid w:val="00D44BA3"/>
    <w:rsid w:val="00D45177"/>
    <w:rsid w:val="00D46AAA"/>
    <w:rsid w:val="00D46B76"/>
    <w:rsid w:val="00D4713D"/>
    <w:rsid w:val="00D479F5"/>
    <w:rsid w:val="00D47ADF"/>
    <w:rsid w:val="00D500A8"/>
    <w:rsid w:val="00D50A50"/>
    <w:rsid w:val="00D5124F"/>
    <w:rsid w:val="00D51BB1"/>
    <w:rsid w:val="00D5243A"/>
    <w:rsid w:val="00D52C82"/>
    <w:rsid w:val="00D52CF5"/>
    <w:rsid w:val="00D54860"/>
    <w:rsid w:val="00D54F3A"/>
    <w:rsid w:val="00D54FFB"/>
    <w:rsid w:val="00D5541D"/>
    <w:rsid w:val="00D55975"/>
    <w:rsid w:val="00D559F7"/>
    <w:rsid w:val="00D56FCA"/>
    <w:rsid w:val="00D573A9"/>
    <w:rsid w:val="00D60A74"/>
    <w:rsid w:val="00D610D0"/>
    <w:rsid w:val="00D633D1"/>
    <w:rsid w:val="00D70ABC"/>
    <w:rsid w:val="00D7104C"/>
    <w:rsid w:val="00D72910"/>
    <w:rsid w:val="00D72B73"/>
    <w:rsid w:val="00D744D5"/>
    <w:rsid w:val="00D76DF4"/>
    <w:rsid w:val="00D77832"/>
    <w:rsid w:val="00D80A75"/>
    <w:rsid w:val="00D82DA0"/>
    <w:rsid w:val="00D848B0"/>
    <w:rsid w:val="00D8572B"/>
    <w:rsid w:val="00D85961"/>
    <w:rsid w:val="00D8733B"/>
    <w:rsid w:val="00D906E2"/>
    <w:rsid w:val="00D90D12"/>
    <w:rsid w:val="00D90EBB"/>
    <w:rsid w:val="00D9306F"/>
    <w:rsid w:val="00D93202"/>
    <w:rsid w:val="00D93467"/>
    <w:rsid w:val="00DA00B7"/>
    <w:rsid w:val="00DA0174"/>
    <w:rsid w:val="00DA155F"/>
    <w:rsid w:val="00DA3E2F"/>
    <w:rsid w:val="00DA43D5"/>
    <w:rsid w:val="00DA449E"/>
    <w:rsid w:val="00DA4ABF"/>
    <w:rsid w:val="00DA69FB"/>
    <w:rsid w:val="00DA6D2D"/>
    <w:rsid w:val="00DA7EFA"/>
    <w:rsid w:val="00DB314F"/>
    <w:rsid w:val="00DB3D3C"/>
    <w:rsid w:val="00DB4ED0"/>
    <w:rsid w:val="00DB6040"/>
    <w:rsid w:val="00DC055F"/>
    <w:rsid w:val="00DC17FA"/>
    <w:rsid w:val="00DC1B54"/>
    <w:rsid w:val="00DC3FCB"/>
    <w:rsid w:val="00DC40C7"/>
    <w:rsid w:val="00DC4BA0"/>
    <w:rsid w:val="00DC53AD"/>
    <w:rsid w:val="00DC6530"/>
    <w:rsid w:val="00DC74D2"/>
    <w:rsid w:val="00DD095F"/>
    <w:rsid w:val="00DD0ACF"/>
    <w:rsid w:val="00DD2E63"/>
    <w:rsid w:val="00DD3C2B"/>
    <w:rsid w:val="00DD451C"/>
    <w:rsid w:val="00DD55E4"/>
    <w:rsid w:val="00DD7842"/>
    <w:rsid w:val="00DE2C0F"/>
    <w:rsid w:val="00DE45DC"/>
    <w:rsid w:val="00DE47C1"/>
    <w:rsid w:val="00DE6D62"/>
    <w:rsid w:val="00DF2E19"/>
    <w:rsid w:val="00DF44BE"/>
    <w:rsid w:val="00DF4920"/>
    <w:rsid w:val="00DF4B48"/>
    <w:rsid w:val="00DF4F01"/>
    <w:rsid w:val="00DF6233"/>
    <w:rsid w:val="00DF6FF8"/>
    <w:rsid w:val="00DF75C2"/>
    <w:rsid w:val="00E01DFF"/>
    <w:rsid w:val="00E02382"/>
    <w:rsid w:val="00E023AF"/>
    <w:rsid w:val="00E02CD8"/>
    <w:rsid w:val="00E03082"/>
    <w:rsid w:val="00E05CF4"/>
    <w:rsid w:val="00E06A38"/>
    <w:rsid w:val="00E07C43"/>
    <w:rsid w:val="00E1124C"/>
    <w:rsid w:val="00E1258D"/>
    <w:rsid w:val="00E127EA"/>
    <w:rsid w:val="00E14609"/>
    <w:rsid w:val="00E14C94"/>
    <w:rsid w:val="00E152B4"/>
    <w:rsid w:val="00E16F65"/>
    <w:rsid w:val="00E2101D"/>
    <w:rsid w:val="00E22C45"/>
    <w:rsid w:val="00E2403D"/>
    <w:rsid w:val="00E24B1D"/>
    <w:rsid w:val="00E255D3"/>
    <w:rsid w:val="00E25B2E"/>
    <w:rsid w:val="00E25D72"/>
    <w:rsid w:val="00E26E6C"/>
    <w:rsid w:val="00E27EAE"/>
    <w:rsid w:val="00E31712"/>
    <w:rsid w:val="00E32F17"/>
    <w:rsid w:val="00E33DD1"/>
    <w:rsid w:val="00E34664"/>
    <w:rsid w:val="00E34959"/>
    <w:rsid w:val="00E35C17"/>
    <w:rsid w:val="00E36B73"/>
    <w:rsid w:val="00E3715B"/>
    <w:rsid w:val="00E37717"/>
    <w:rsid w:val="00E41621"/>
    <w:rsid w:val="00E41D1D"/>
    <w:rsid w:val="00E430DD"/>
    <w:rsid w:val="00E4430E"/>
    <w:rsid w:val="00E446AF"/>
    <w:rsid w:val="00E46840"/>
    <w:rsid w:val="00E50666"/>
    <w:rsid w:val="00E51076"/>
    <w:rsid w:val="00E518D4"/>
    <w:rsid w:val="00E52F7B"/>
    <w:rsid w:val="00E5376D"/>
    <w:rsid w:val="00E5500D"/>
    <w:rsid w:val="00E55313"/>
    <w:rsid w:val="00E55336"/>
    <w:rsid w:val="00E6054B"/>
    <w:rsid w:val="00E605E2"/>
    <w:rsid w:val="00E6196C"/>
    <w:rsid w:val="00E61A2D"/>
    <w:rsid w:val="00E61D4F"/>
    <w:rsid w:val="00E62DC4"/>
    <w:rsid w:val="00E63D1F"/>
    <w:rsid w:val="00E679AA"/>
    <w:rsid w:val="00E67FB4"/>
    <w:rsid w:val="00E712DD"/>
    <w:rsid w:val="00E71CE2"/>
    <w:rsid w:val="00E726EA"/>
    <w:rsid w:val="00E73116"/>
    <w:rsid w:val="00E73FB3"/>
    <w:rsid w:val="00E74DAC"/>
    <w:rsid w:val="00E75499"/>
    <w:rsid w:val="00E76057"/>
    <w:rsid w:val="00E77DCF"/>
    <w:rsid w:val="00E80308"/>
    <w:rsid w:val="00E820E9"/>
    <w:rsid w:val="00E82F28"/>
    <w:rsid w:val="00E84C52"/>
    <w:rsid w:val="00E84F3C"/>
    <w:rsid w:val="00E85A25"/>
    <w:rsid w:val="00E8675E"/>
    <w:rsid w:val="00E86775"/>
    <w:rsid w:val="00E874AE"/>
    <w:rsid w:val="00E8763B"/>
    <w:rsid w:val="00E90BC9"/>
    <w:rsid w:val="00E9241A"/>
    <w:rsid w:val="00E933CF"/>
    <w:rsid w:val="00E94187"/>
    <w:rsid w:val="00E94BF3"/>
    <w:rsid w:val="00E9546A"/>
    <w:rsid w:val="00E962AB"/>
    <w:rsid w:val="00E96472"/>
    <w:rsid w:val="00E96E34"/>
    <w:rsid w:val="00EA0A98"/>
    <w:rsid w:val="00EA2A1C"/>
    <w:rsid w:val="00EA2E8F"/>
    <w:rsid w:val="00EA378D"/>
    <w:rsid w:val="00EA3DF0"/>
    <w:rsid w:val="00EA5964"/>
    <w:rsid w:val="00EA60A6"/>
    <w:rsid w:val="00EA676E"/>
    <w:rsid w:val="00EB005C"/>
    <w:rsid w:val="00EB038B"/>
    <w:rsid w:val="00EB07CF"/>
    <w:rsid w:val="00EB0F39"/>
    <w:rsid w:val="00EB188C"/>
    <w:rsid w:val="00EB2C6B"/>
    <w:rsid w:val="00EB3A1E"/>
    <w:rsid w:val="00EB3B56"/>
    <w:rsid w:val="00EB45EF"/>
    <w:rsid w:val="00EB4AED"/>
    <w:rsid w:val="00EB543D"/>
    <w:rsid w:val="00EC0EAF"/>
    <w:rsid w:val="00EC0ED2"/>
    <w:rsid w:val="00EC4260"/>
    <w:rsid w:val="00EC66CF"/>
    <w:rsid w:val="00EC6AFC"/>
    <w:rsid w:val="00EC7E0C"/>
    <w:rsid w:val="00ED0384"/>
    <w:rsid w:val="00ED2764"/>
    <w:rsid w:val="00ED2AB4"/>
    <w:rsid w:val="00ED3518"/>
    <w:rsid w:val="00ED4834"/>
    <w:rsid w:val="00ED6030"/>
    <w:rsid w:val="00ED69E8"/>
    <w:rsid w:val="00ED7159"/>
    <w:rsid w:val="00ED7F10"/>
    <w:rsid w:val="00EE05B6"/>
    <w:rsid w:val="00EE213F"/>
    <w:rsid w:val="00EE444A"/>
    <w:rsid w:val="00EF04BF"/>
    <w:rsid w:val="00EF05FA"/>
    <w:rsid w:val="00EF1263"/>
    <w:rsid w:val="00EF4DA2"/>
    <w:rsid w:val="00EF5792"/>
    <w:rsid w:val="00EF5A4E"/>
    <w:rsid w:val="00EF7EF8"/>
    <w:rsid w:val="00F000CA"/>
    <w:rsid w:val="00F00814"/>
    <w:rsid w:val="00F018D4"/>
    <w:rsid w:val="00F01E6E"/>
    <w:rsid w:val="00F030CA"/>
    <w:rsid w:val="00F03855"/>
    <w:rsid w:val="00F03EE3"/>
    <w:rsid w:val="00F04AE2"/>
    <w:rsid w:val="00F063E9"/>
    <w:rsid w:val="00F1187C"/>
    <w:rsid w:val="00F11921"/>
    <w:rsid w:val="00F1355B"/>
    <w:rsid w:val="00F15DC6"/>
    <w:rsid w:val="00F20073"/>
    <w:rsid w:val="00F212B7"/>
    <w:rsid w:val="00F22FE0"/>
    <w:rsid w:val="00F235D3"/>
    <w:rsid w:val="00F236E6"/>
    <w:rsid w:val="00F23F93"/>
    <w:rsid w:val="00F24017"/>
    <w:rsid w:val="00F24095"/>
    <w:rsid w:val="00F24AB4"/>
    <w:rsid w:val="00F24DC4"/>
    <w:rsid w:val="00F256F9"/>
    <w:rsid w:val="00F25850"/>
    <w:rsid w:val="00F26BCA"/>
    <w:rsid w:val="00F2704B"/>
    <w:rsid w:val="00F3024C"/>
    <w:rsid w:val="00F3069A"/>
    <w:rsid w:val="00F31404"/>
    <w:rsid w:val="00F31643"/>
    <w:rsid w:val="00F317CF"/>
    <w:rsid w:val="00F31EE4"/>
    <w:rsid w:val="00F3292B"/>
    <w:rsid w:val="00F37152"/>
    <w:rsid w:val="00F40629"/>
    <w:rsid w:val="00F41F5A"/>
    <w:rsid w:val="00F43F02"/>
    <w:rsid w:val="00F44409"/>
    <w:rsid w:val="00F44539"/>
    <w:rsid w:val="00F44A1A"/>
    <w:rsid w:val="00F4789F"/>
    <w:rsid w:val="00F47EE4"/>
    <w:rsid w:val="00F503CA"/>
    <w:rsid w:val="00F507F6"/>
    <w:rsid w:val="00F508C2"/>
    <w:rsid w:val="00F51723"/>
    <w:rsid w:val="00F52C4B"/>
    <w:rsid w:val="00F54635"/>
    <w:rsid w:val="00F5500C"/>
    <w:rsid w:val="00F55BA5"/>
    <w:rsid w:val="00F5605D"/>
    <w:rsid w:val="00F56551"/>
    <w:rsid w:val="00F567EB"/>
    <w:rsid w:val="00F577E4"/>
    <w:rsid w:val="00F579B1"/>
    <w:rsid w:val="00F61C54"/>
    <w:rsid w:val="00F62235"/>
    <w:rsid w:val="00F63735"/>
    <w:rsid w:val="00F638FA"/>
    <w:rsid w:val="00F65A02"/>
    <w:rsid w:val="00F66912"/>
    <w:rsid w:val="00F67539"/>
    <w:rsid w:val="00F7065C"/>
    <w:rsid w:val="00F71B55"/>
    <w:rsid w:val="00F74298"/>
    <w:rsid w:val="00F74490"/>
    <w:rsid w:val="00F74F48"/>
    <w:rsid w:val="00F8161A"/>
    <w:rsid w:val="00F81FD4"/>
    <w:rsid w:val="00F82FB8"/>
    <w:rsid w:val="00F84E0B"/>
    <w:rsid w:val="00F866CF"/>
    <w:rsid w:val="00F87419"/>
    <w:rsid w:val="00F87B75"/>
    <w:rsid w:val="00F9069F"/>
    <w:rsid w:val="00F911D1"/>
    <w:rsid w:val="00F93202"/>
    <w:rsid w:val="00F94249"/>
    <w:rsid w:val="00F9442E"/>
    <w:rsid w:val="00F94AC9"/>
    <w:rsid w:val="00F962B4"/>
    <w:rsid w:val="00F96363"/>
    <w:rsid w:val="00FA2B73"/>
    <w:rsid w:val="00FA4E82"/>
    <w:rsid w:val="00FA74E6"/>
    <w:rsid w:val="00FB1385"/>
    <w:rsid w:val="00FB2287"/>
    <w:rsid w:val="00FB2551"/>
    <w:rsid w:val="00FB29C2"/>
    <w:rsid w:val="00FB3CD9"/>
    <w:rsid w:val="00FB3D9C"/>
    <w:rsid w:val="00FB491B"/>
    <w:rsid w:val="00FB4E69"/>
    <w:rsid w:val="00FB5D82"/>
    <w:rsid w:val="00FB5DDF"/>
    <w:rsid w:val="00FB5EB3"/>
    <w:rsid w:val="00FB7BAA"/>
    <w:rsid w:val="00FC16D0"/>
    <w:rsid w:val="00FC2405"/>
    <w:rsid w:val="00FC2470"/>
    <w:rsid w:val="00FC258A"/>
    <w:rsid w:val="00FC4759"/>
    <w:rsid w:val="00FC4945"/>
    <w:rsid w:val="00FC5D5D"/>
    <w:rsid w:val="00FC6304"/>
    <w:rsid w:val="00FC6588"/>
    <w:rsid w:val="00FC664D"/>
    <w:rsid w:val="00FC6A86"/>
    <w:rsid w:val="00FC6B5F"/>
    <w:rsid w:val="00FC6F73"/>
    <w:rsid w:val="00FC6FAB"/>
    <w:rsid w:val="00FC74F5"/>
    <w:rsid w:val="00FD052C"/>
    <w:rsid w:val="00FD1B9C"/>
    <w:rsid w:val="00FD374B"/>
    <w:rsid w:val="00FD476B"/>
    <w:rsid w:val="00FD55B0"/>
    <w:rsid w:val="00FE1CCA"/>
    <w:rsid w:val="00FE69C7"/>
    <w:rsid w:val="00FE6E49"/>
    <w:rsid w:val="00FE7A44"/>
    <w:rsid w:val="00FF0411"/>
    <w:rsid w:val="00FF091F"/>
    <w:rsid w:val="00FF1C6F"/>
    <w:rsid w:val="00FF233A"/>
    <w:rsid w:val="00FF295F"/>
    <w:rsid w:val="00FF2AD9"/>
    <w:rsid w:val="00FF2CB6"/>
    <w:rsid w:val="00FF2F4A"/>
    <w:rsid w:val="00FF2FE5"/>
    <w:rsid w:val="00FF30BB"/>
    <w:rsid w:val="00FF4D2D"/>
    <w:rsid w:val="00FF5527"/>
    <w:rsid w:val="00FF69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903,#6c0000,#820000,#740000,#0c0,maroon,#a50021,#900"/>
    </o:shapedefaults>
    <o:shapelayout v:ext="edit">
      <o:idmap v:ext="edit" data="1"/>
    </o:shapelayout>
  </w:shapeDefaults>
  <w:decimalSymbol w:val="."/>
  <w:listSeparator w:val=";"/>
  <w14:docId w14:val="1AEDDA60"/>
  <w15:docId w15:val="{31B1B0F0-5BCA-4F98-97B7-4617D25F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CD8"/>
    <w:rPr>
      <w:sz w:val="24"/>
      <w:szCs w:val="24"/>
      <w:lang w:val="el-GR" w:eastAsia="el-GR"/>
    </w:rPr>
  </w:style>
  <w:style w:type="paragraph" w:styleId="Heading1">
    <w:name w:val="heading 1"/>
    <w:basedOn w:val="Normal"/>
    <w:next w:val="Normal"/>
    <w:link w:val="Heading1Char"/>
    <w:uiPriority w:val="9"/>
    <w:qFormat/>
    <w:locked/>
    <w:rsid w:val="00FC630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locked/>
    <w:rsid w:val="00FC6304"/>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locked/>
    <w:rsid w:val="00FC630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locked/>
    <w:rsid w:val="00D06E51"/>
    <w:pPr>
      <w:keepNext/>
      <w:keepLines/>
      <w:spacing w:before="40" w:line="264" w:lineRule="auto"/>
      <w:outlineLvl w:val="3"/>
    </w:pPr>
    <w:rPr>
      <w:rFonts w:asciiTheme="majorHAnsi" w:eastAsiaTheme="majorEastAsia" w:hAnsiTheme="majorHAnsi" w:cstheme="majorBidi"/>
      <w:sz w:val="22"/>
      <w:szCs w:val="22"/>
      <w:lang w:val="en-US" w:eastAsia="en-US"/>
    </w:rPr>
  </w:style>
  <w:style w:type="paragraph" w:styleId="Heading5">
    <w:name w:val="heading 5"/>
    <w:basedOn w:val="Normal"/>
    <w:next w:val="Normal"/>
    <w:link w:val="Heading5Char"/>
    <w:uiPriority w:val="9"/>
    <w:semiHidden/>
    <w:unhideWhenUsed/>
    <w:qFormat/>
    <w:locked/>
    <w:rsid w:val="00FC6304"/>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locked/>
    <w:rsid w:val="00D06E51"/>
    <w:pPr>
      <w:keepNext/>
      <w:keepLines/>
      <w:spacing w:before="40" w:line="264" w:lineRule="auto"/>
      <w:outlineLvl w:val="5"/>
    </w:pPr>
    <w:rPr>
      <w:rFonts w:asciiTheme="majorHAnsi" w:eastAsiaTheme="majorEastAsia" w:hAnsiTheme="majorHAnsi" w:cstheme="majorBidi"/>
      <w:i/>
      <w:iCs/>
      <w:color w:val="1F497D" w:themeColor="text2"/>
      <w:sz w:val="21"/>
      <w:szCs w:val="21"/>
      <w:lang w:val="en-US" w:eastAsia="en-US"/>
    </w:rPr>
  </w:style>
  <w:style w:type="paragraph" w:styleId="Heading7">
    <w:name w:val="heading 7"/>
    <w:basedOn w:val="Normal"/>
    <w:next w:val="Normal"/>
    <w:link w:val="Heading7Char"/>
    <w:uiPriority w:val="9"/>
    <w:qFormat/>
    <w:rsid w:val="0079613D"/>
    <w:pPr>
      <w:keepNext/>
      <w:outlineLvl w:val="6"/>
    </w:pPr>
    <w:rPr>
      <w:b/>
      <w:szCs w:val="20"/>
      <w:lang w:val="en-US" w:eastAsia="en-US"/>
    </w:rPr>
  </w:style>
  <w:style w:type="paragraph" w:styleId="Heading8">
    <w:name w:val="heading 8"/>
    <w:basedOn w:val="Normal"/>
    <w:next w:val="Normal"/>
    <w:link w:val="Heading8Char"/>
    <w:uiPriority w:val="9"/>
    <w:semiHidden/>
    <w:unhideWhenUsed/>
    <w:qFormat/>
    <w:locked/>
    <w:rsid w:val="00D06E51"/>
    <w:pPr>
      <w:keepNext/>
      <w:keepLines/>
      <w:spacing w:before="40" w:line="264" w:lineRule="auto"/>
      <w:outlineLvl w:val="7"/>
    </w:pPr>
    <w:rPr>
      <w:rFonts w:asciiTheme="majorHAnsi" w:eastAsiaTheme="majorEastAsia" w:hAnsiTheme="majorHAnsi" w:cstheme="majorBidi"/>
      <w:b/>
      <w:bCs/>
      <w:color w:val="1F497D" w:themeColor="text2"/>
      <w:sz w:val="20"/>
      <w:szCs w:val="20"/>
      <w:lang w:val="en-US" w:eastAsia="en-US"/>
    </w:rPr>
  </w:style>
  <w:style w:type="paragraph" w:styleId="Heading9">
    <w:name w:val="heading 9"/>
    <w:basedOn w:val="Normal"/>
    <w:next w:val="Normal"/>
    <w:link w:val="Heading9Char"/>
    <w:uiPriority w:val="9"/>
    <w:semiHidden/>
    <w:unhideWhenUsed/>
    <w:qFormat/>
    <w:locked/>
    <w:rsid w:val="009C7BF4"/>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
    <w:locked/>
    <w:rsid w:val="0079613D"/>
    <w:rPr>
      <w:b/>
      <w:sz w:val="24"/>
      <w:lang w:val="en-US" w:eastAsia="en-US"/>
    </w:rPr>
  </w:style>
  <w:style w:type="character" w:customStyle="1" w:styleId="2">
    <w:name w:val="Σώμα κειμένου (2)_"/>
    <w:link w:val="20"/>
    <w:uiPriority w:val="99"/>
    <w:locked/>
    <w:rsid w:val="00477C91"/>
    <w:rPr>
      <w:shd w:val="clear" w:color="auto" w:fill="FFFFFF"/>
    </w:rPr>
  </w:style>
  <w:style w:type="paragraph" w:customStyle="1" w:styleId="20">
    <w:name w:val="Σώμα κειμένου (2)"/>
    <w:basedOn w:val="Normal"/>
    <w:link w:val="2"/>
    <w:uiPriority w:val="99"/>
    <w:rsid w:val="00477C91"/>
    <w:pPr>
      <w:widowControl w:val="0"/>
      <w:shd w:val="clear" w:color="auto" w:fill="FFFFFF"/>
      <w:spacing w:before="60" w:after="300" w:line="240" w:lineRule="atLeast"/>
      <w:ind w:hanging="460"/>
    </w:pPr>
    <w:rPr>
      <w:sz w:val="20"/>
      <w:szCs w:val="20"/>
      <w:shd w:val="clear" w:color="auto" w:fill="FFFFFF"/>
    </w:rPr>
  </w:style>
  <w:style w:type="character" w:customStyle="1" w:styleId="4">
    <w:name w:val="Σώμα κειμένου (4)_"/>
    <w:link w:val="40"/>
    <w:uiPriority w:val="99"/>
    <w:locked/>
    <w:rsid w:val="00477C91"/>
    <w:rPr>
      <w:i/>
      <w:shd w:val="clear" w:color="auto" w:fill="FFFFFF"/>
    </w:rPr>
  </w:style>
  <w:style w:type="paragraph" w:customStyle="1" w:styleId="40">
    <w:name w:val="Σώμα κειμένου (4)"/>
    <w:basedOn w:val="Normal"/>
    <w:link w:val="4"/>
    <w:uiPriority w:val="99"/>
    <w:rsid w:val="00477C91"/>
    <w:pPr>
      <w:widowControl w:val="0"/>
      <w:shd w:val="clear" w:color="auto" w:fill="FFFFFF"/>
      <w:spacing w:before="180" w:after="420" w:line="240" w:lineRule="atLeast"/>
      <w:ind w:hanging="460"/>
      <w:jc w:val="both"/>
    </w:pPr>
    <w:rPr>
      <w:i/>
      <w:sz w:val="20"/>
      <w:szCs w:val="20"/>
      <w:shd w:val="clear" w:color="auto" w:fill="FFFFFF"/>
    </w:rPr>
  </w:style>
  <w:style w:type="character" w:customStyle="1" w:styleId="41">
    <w:name w:val="Σώμα κειμένου (4) + Χωρίς πλάγια γραφή"/>
    <w:uiPriority w:val="99"/>
    <w:rsid w:val="00477C91"/>
    <w:rPr>
      <w:rFonts w:ascii="Times New Roman" w:hAnsi="Times New Roman"/>
      <w:b/>
      <w:i/>
      <w:color w:val="000000"/>
      <w:spacing w:val="0"/>
      <w:w w:val="100"/>
      <w:position w:val="0"/>
      <w:sz w:val="20"/>
      <w:u w:val="none"/>
      <w:effect w:val="none"/>
      <w:lang w:val="en-US" w:eastAsia="en-US"/>
    </w:rPr>
  </w:style>
  <w:style w:type="character" w:customStyle="1" w:styleId="21">
    <w:name w:val="Σώμα κειμένου (2) + Πλάγια γραφή"/>
    <w:uiPriority w:val="99"/>
    <w:rsid w:val="00477C91"/>
    <w:rPr>
      <w:rFonts w:ascii="Times New Roman" w:hAnsi="Times New Roman"/>
      <w:b/>
      <w:i/>
      <w:color w:val="000000"/>
      <w:spacing w:val="0"/>
      <w:w w:val="100"/>
      <w:position w:val="0"/>
      <w:sz w:val="20"/>
      <w:u w:val="none"/>
      <w:effect w:val="none"/>
      <w:lang w:val="en-US" w:eastAsia="en-US"/>
    </w:rPr>
  </w:style>
  <w:style w:type="character" w:customStyle="1" w:styleId="200">
    <w:name w:val="Σώμα κειμένου (2) + Διάστιχο 0 στ."/>
    <w:uiPriority w:val="99"/>
    <w:rsid w:val="00477C91"/>
    <w:rPr>
      <w:rFonts w:ascii="Times New Roman" w:hAnsi="Times New Roman"/>
      <w:b/>
      <w:color w:val="000000"/>
      <w:spacing w:val="-10"/>
      <w:w w:val="100"/>
      <w:position w:val="0"/>
      <w:sz w:val="20"/>
      <w:u w:val="none"/>
      <w:effect w:val="none"/>
      <w:lang w:val="en-US" w:eastAsia="en-US"/>
    </w:rPr>
  </w:style>
  <w:style w:type="paragraph" w:styleId="HTMLPreformatted">
    <w:name w:val="HTML Preformatted"/>
    <w:basedOn w:val="Normal"/>
    <w:link w:val="HTMLPreformattedChar"/>
    <w:uiPriority w:val="99"/>
    <w:rsid w:val="0079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F962B4"/>
    <w:rPr>
      <w:rFonts w:ascii="Courier New" w:hAnsi="Courier New"/>
    </w:rPr>
  </w:style>
  <w:style w:type="paragraph" w:styleId="BalloonText">
    <w:name w:val="Balloon Text"/>
    <w:basedOn w:val="Normal"/>
    <w:link w:val="BalloonTextChar"/>
    <w:uiPriority w:val="99"/>
    <w:rsid w:val="005D32B4"/>
    <w:rPr>
      <w:rFonts w:ascii="Segoe UI" w:hAnsi="Segoe UI"/>
      <w:sz w:val="18"/>
      <w:szCs w:val="20"/>
    </w:rPr>
  </w:style>
  <w:style w:type="character" w:customStyle="1" w:styleId="BalloonTextChar">
    <w:name w:val="Balloon Text Char"/>
    <w:link w:val="BalloonText"/>
    <w:uiPriority w:val="99"/>
    <w:locked/>
    <w:rsid w:val="005D32B4"/>
    <w:rPr>
      <w:rFonts w:ascii="Segoe UI" w:hAnsi="Segoe UI"/>
      <w:sz w:val="18"/>
    </w:rPr>
  </w:style>
  <w:style w:type="character" w:styleId="PlaceholderText">
    <w:name w:val="Placeholder Text"/>
    <w:uiPriority w:val="99"/>
    <w:semiHidden/>
    <w:rsid w:val="00786C4C"/>
    <w:rPr>
      <w:color w:val="808080"/>
    </w:rPr>
  </w:style>
  <w:style w:type="paragraph" w:styleId="BodyText">
    <w:name w:val="Body Text"/>
    <w:basedOn w:val="Normal"/>
    <w:link w:val="BodyTextChar"/>
    <w:uiPriority w:val="99"/>
    <w:rsid w:val="00A9098A"/>
    <w:pPr>
      <w:jc w:val="both"/>
    </w:pPr>
    <w:rPr>
      <w:szCs w:val="20"/>
      <w:lang w:val="en-US" w:eastAsia="en-US"/>
    </w:rPr>
  </w:style>
  <w:style w:type="character" w:customStyle="1" w:styleId="BodyTextChar">
    <w:name w:val="Body Text Char"/>
    <w:link w:val="BodyText"/>
    <w:uiPriority w:val="99"/>
    <w:locked/>
    <w:rsid w:val="00A9098A"/>
    <w:rPr>
      <w:sz w:val="24"/>
      <w:lang w:val="en-US" w:eastAsia="en-US"/>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A9098A"/>
    <w:pPr>
      <w:bidi/>
      <w:ind w:left="720"/>
      <w:contextualSpacing/>
    </w:pPr>
    <w:rPr>
      <w:noProof/>
      <w:szCs w:val="20"/>
      <w:lang w:val="en-US"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A9098A"/>
    <w:rPr>
      <w:noProof/>
      <w:sz w:val="24"/>
      <w:lang w:val="en-US" w:eastAsia="ar-SA"/>
    </w:rPr>
  </w:style>
  <w:style w:type="paragraph" w:styleId="BodyTextIndent2">
    <w:name w:val="Body Text Indent 2"/>
    <w:basedOn w:val="Normal"/>
    <w:link w:val="BodyTextIndent2Char"/>
    <w:uiPriority w:val="99"/>
    <w:rsid w:val="00A9098A"/>
    <w:pPr>
      <w:spacing w:after="120" w:line="480" w:lineRule="auto"/>
      <w:ind w:left="283"/>
    </w:pPr>
    <w:rPr>
      <w:szCs w:val="20"/>
      <w:lang w:val="en-US" w:eastAsia="en-US"/>
    </w:rPr>
  </w:style>
  <w:style w:type="character" w:customStyle="1" w:styleId="BodyTextIndent2Char">
    <w:name w:val="Body Text Indent 2 Char"/>
    <w:link w:val="BodyTextIndent2"/>
    <w:uiPriority w:val="99"/>
    <w:locked/>
    <w:rsid w:val="00A9098A"/>
    <w:rPr>
      <w:sz w:val="24"/>
      <w:lang w:val="en-US" w:eastAsia="en-US"/>
    </w:rPr>
  </w:style>
  <w:style w:type="paragraph" w:styleId="ListContinue">
    <w:name w:val="List Continue"/>
    <w:basedOn w:val="Normal"/>
    <w:uiPriority w:val="99"/>
    <w:rsid w:val="00A9098A"/>
    <w:pPr>
      <w:bidi/>
      <w:spacing w:after="120"/>
      <w:ind w:left="283"/>
    </w:pPr>
    <w:rPr>
      <w:rFonts w:cs="Traditional Arabic"/>
      <w:sz w:val="20"/>
      <w:szCs w:val="20"/>
      <w:lang w:val="en-US" w:eastAsia="ar-SA"/>
    </w:rPr>
  </w:style>
  <w:style w:type="paragraph" w:styleId="FootnoteText">
    <w:name w:val="footnote text"/>
    <w:basedOn w:val="Normal"/>
    <w:link w:val="FootnoteTextChar"/>
    <w:uiPriority w:val="99"/>
    <w:rsid w:val="008B0C51"/>
    <w:rPr>
      <w:sz w:val="20"/>
      <w:szCs w:val="20"/>
    </w:rPr>
  </w:style>
  <w:style w:type="character" w:customStyle="1" w:styleId="FootnoteTextChar">
    <w:name w:val="Footnote Text Char"/>
    <w:basedOn w:val="DefaultParagraphFont"/>
    <w:link w:val="FootnoteText"/>
    <w:uiPriority w:val="99"/>
    <w:locked/>
    <w:rsid w:val="008B0C51"/>
  </w:style>
  <w:style w:type="character" w:styleId="FootnoteReference">
    <w:name w:val="footnote reference"/>
    <w:uiPriority w:val="99"/>
    <w:rsid w:val="008B0C51"/>
    <w:rPr>
      <w:rFonts w:cs="Times New Roman"/>
      <w:vertAlign w:val="superscript"/>
    </w:rPr>
  </w:style>
  <w:style w:type="character" w:styleId="Hyperlink">
    <w:name w:val="Hyperlink"/>
    <w:uiPriority w:val="99"/>
    <w:rsid w:val="00ED2AB4"/>
    <w:rPr>
      <w:rFonts w:cs="Times New Roman"/>
      <w:color w:val="0563C1"/>
      <w:u w:val="single"/>
    </w:rPr>
  </w:style>
  <w:style w:type="paragraph" w:styleId="Header">
    <w:name w:val="header"/>
    <w:basedOn w:val="Normal"/>
    <w:link w:val="HeaderChar"/>
    <w:uiPriority w:val="99"/>
    <w:rsid w:val="00B55B11"/>
    <w:pPr>
      <w:tabs>
        <w:tab w:val="center" w:pos="4680"/>
        <w:tab w:val="right" w:pos="9360"/>
      </w:tabs>
    </w:pPr>
    <w:rPr>
      <w:szCs w:val="20"/>
    </w:rPr>
  </w:style>
  <w:style w:type="character" w:customStyle="1" w:styleId="HeaderChar">
    <w:name w:val="Header Char"/>
    <w:link w:val="Header"/>
    <w:uiPriority w:val="99"/>
    <w:locked/>
    <w:rsid w:val="00B55B11"/>
    <w:rPr>
      <w:sz w:val="24"/>
    </w:rPr>
  </w:style>
  <w:style w:type="paragraph" w:styleId="Footer">
    <w:name w:val="footer"/>
    <w:basedOn w:val="Normal"/>
    <w:link w:val="FooterChar"/>
    <w:uiPriority w:val="99"/>
    <w:rsid w:val="00B55B11"/>
    <w:pPr>
      <w:tabs>
        <w:tab w:val="center" w:pos="4680"/>
        <w:tab w:val="right" w:pos="9360"/>
      </w:tabs>
    </w:pPr>
    <w:rPr>
      <w:szCs w:val="20"/>
    </w:rPr>
  </w:style>
  <w:style w:type="character" w:customStyle="1" w:styleId="FooterChar">
    <w:name w:val="Footer Char"/>
    <w:link w:val="Footer"/>
    <w:uiPriority w:val="99"/>
    <w:locked/>
    <w:rsid w:val="00B55B11"/>
    <w:rPr>
      <w:sz w:val="24"/>
    </w:rPr>
  </w:style>
  <w:style w:type="paragraph" w:customStyle="1" w:styleId="210">
    <w:name w:val="Σώμα κειμένου (2)1"/>
    <w:basedOn w:val="Normal"/>
    <w:uiPriority w:val="99"/>
    <w:rsid w:val="00F962B4"/>
    <w:pPr>
      <w:widowControl w:val="0"/>
      <w:shd w:val="clear" w:color="auto" w:fill="FFFFFF"/>
      <w:spacing w:after="240" w:line="278" w:lineRule="exact"/>
      <w:jc w:val="both"/>
    </w:pPr>
    <w:rPr>
      <w:rFonts w:ascii="Arial" w:hAnsi="Arial"/>
      <w:noProof/>
      <w:sz w:val="19"/>
      <w:szCs w:val="20"/>
      <w:shd w:val="clear" w:color="auto" w:fill="FFFFFF"/>
    </w:rPr>
  </w:style>
  <w:style w:type="character" w:styleId="PageNumber">
    <w:name w:val="page number"/>
    <w:uiPriority w:val="99"/>
    <w:rsid w:val="00F962B4"/>
    <w:rPr>
      <w:rFonts w:cs="Times New Roman"/>
    </w:rPr>
  </w:style>
  <w:style w:type="character" w:styleId="CommentReference">
    <w:name w:val="annotation reference"/>
    <w:uiPriority w:val="99"/>
    <w:rsid w:val="00F962B4"/>
    <w:rPr>
      <w:rFonts w:cs="Times New Roman"/>
      <w:sz w:val="16"/>
    </w:rPr>
  </w:style>
  <w:style w:type="paragraph" w:styleId="CommentText">
    <w:name w:val="annotation text"/>
    <w:basedOn w:val="Normal"/>
    <w:link w:val="CommentTextChar"/>
    <w:uiPriority w:val="99"/>
    <w:rsid w:val="00F962B4"/>
    <w:pPr>
      <w:spacing w:after="160" w:line="259" w:lineRule="auto"/>
    </w:pPr>
    <w:rPr>
      <w:rFonts w:ascii="Calibri" w:hAnsi="Calibri"/>
      <w:sz w:val="20"/>
      <w:szCs w:val="20"/>
      <w:lang w:eastAsia="en-US"/>
    </w:rPr>
  </w:style>
  <w:style w:type="character" w:customStyle="1" w:styleId="CommentTextChar">
    <w:name w:val="Comment Text Char"/>
    <w:link w:val="CommentText"/>
    <w:uiPriority w:val="99"/>
    <w:locked/>
    <w:rsid w:val="00F962B4"/>
    <w:rPr>
      <w:rFonts w:ascii="Calibri" w:hAnsi="Calibri"/>
      <w:lang w:eastAsia="en-US"/>
    </w:rPr>
  </w:style>
  <w:style w:type="paragraph" w:styleId="CommentSubject">
    <w:name w:val="annotation subject"/>
    <w:basedOn w:val="CommentText"/>
    <w:next w:val="CommentText"/>
    <w:link w:val="CommentSubjectChar"/>
    <w:uiPriority w:val="99"/>
    <w:rsid w:val="00F962B4"/>
    <w:rPr>
      <w:b/>
    </w:rPr>
  </w:style>
  <w:style w:type="character" w:customStyle="1" w:styleId="CommentSubjectChar">
    <w:name w:val="Comment Subject Char"/>
    <w:link w:val="CommentSubject"/>
    <w:uiPriority w:val="99"/>
    <w:locked/>
    <w:rsid w:val="00F962B4"/>
    <w:rPr>
      <w:rFonts w:ascii="Calibri" w:hAnsi="Calibri"/>
      <w:b/>
      <w:lang w:eastAsia="en-US"/>
    </w:rPr>
  </w:style>
  <w:style w:type="table" w:styleId="TableGrid">
    <w:name w:val="Table Grid"/>
    <w:basedOn w:val="TableNormal"/>
    <w:uiPriority w:val="39"/>
    <w:rsid w:val="00F962B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rsid w:val="00F962B4"/>
    <w:pPr>
      <w:spacing w:before="100" w:beforeAutospacing="1" w:after="100" w:afterAutospacing="1"/>
    </w:pPr>
    <w:rPr>
      <w:lang w:val="en-US" w:eastAsia="en-US"/>
    </w:rPr>
  </w:style>
  <w:style w:type="character" w:customStyle="1" w:styleId="22">
    <w:name w:val="Σώμα κειμένου (2) + Έντονη γραφή"/>
    <w:uiPriority w:val="99"/>
    <w:rsid w:val="00FB5DDF"/>
    <w:rPr>
      <w:rFonts w:ascii="Arial" w:hAnsi="Arial"/>
      <w:b/>
      <w:color w:val="000000"/>
      <w:spacing w:val="0"/>
      <w:w w:val="100"/>
      <w:position w:val="0"/>
      <w:sz w:val="19"/>
      <w:u w:val="none"/>
      <w:effect w:val="none"/>
      <w:lang w:val="en-US" w:eastAsia="en-US"/>
    </w:rPr>
  </w:style>
  <w:style w:type="character" w:styleId="Strong">
    <w:name w:val="Strong"/>
    <w:uiPriority w:val="22"/>
    <w:qFormat/>
    <w:rsid w:val="00FB5DDF"/>
    <w:rPr>
      <w:rFonts w:cs="Times New Roman"/>
      <w:b/>
    </w:rPr>
  </w:style>
  <w:style w:type="character" w:customStyle="1" w:styleId="TOC3Char">
    <w:name w:val="TOC 3 Char"/>
    <w:link w:val="TOC3"/>
    <w:uiPriority w:val="99"/>
    <w:locked/>
    <w:rsid w:val="00CA240D"/>
    <w:rPr>
      <w:rFonts w:ascii="Arial" w:hAnsi="Arial"/>
      <w:sz w:val="19"/>
      <w:shd w:val="clear" w:color="auto" w:fill="FFFFFF"/>
    </w:rPr>
  </w:style>
  <w:style w:type="paragraph" w:styleId="TOC3">
    <w:name w:val="toc 3"/>
    <w:basedOn w:val="Normal"/>
    <w:link w:val="TOC3Char"/>
    <w:autoRedefine/>
    <w:uiPriority w:val="99"/>
    <w:rsid w:val="00CA240D"/>
    <w:pPr>
      <w:widowControl w:val="0"/>
      <w:shd w:val="clear" w:color="auto" w:fill="FFFFFF"/>
      <w:spacing w:line="278" w:lineRule="exact"/>
      <w:jc w:val="both"/>
    </w:pPr>
    <w:rPr>
      <w:rFonts w:ascii="Arial" w:hAnsi="Arial"/>
      <w:sz w:val="19"/>
      <w:szCs w:val="20"/>
      <w:shd w:val="clear" w:color="auto" w:fill="FFFFFF"/>
    </w:rPr>
  </w:style>
  <w:style w:type="paragraph" w:styleId="TOC2">
    <w:name w:val="toc 2"/>
    <w:basedOn w:val="Normal"/>
    <w:next w:val="Normal"/>
    <w:autoRedefine/>
    <w:uiPriority w:val="99"/>
    <w:semiHidden/>
    <w:rsid w:val="00CA240D"/>
    <w:pPr>
      <w:ind w:left="240"/>
    </w:pPr>
  </w:style>
  <w:style w:type="character" w:customStyle="1" w:styleId="8">
    <w:name w:val="Σώμα κειμένου (8)_"/>
    <w:link w:val="81"/>
    <w:uiPriority w:val="99"/>
    <w:locked/>
    <w:rsid w:val="00CA240D"/>
    <w:rPr>
      <w:rFonts w:ascii="Arial" w:hAnsi="Arial"/>
      <w:b/>
      <w:i/>
      <w:sz w:val="32"/>
      <w:shd w:val="clear" w:color="auto" w:fill="FFFFFF"/>
    </w:rPr>
  </w:style>
  <w:style w:type="paragraph" w:customStyle="1" w:styleId="81">
    <w:name w:val="Σώμα κειμένου (8)1"/>
    <w:basedOn w:val="Normal"/>
    <w:link w:val="8"/>
    <w:uiPriority w:val="99"/>
    <w:rsid w:val="00CA240D"/>
    <w:pPr>
      <w:widowControl w:val="0"/>
      <w:shd w:val="clear" w:color="auto" w:fill="FFFFFF"/>
      <w:spacing w:line="240" w:lineRule="atLeast"/>
    </w:pPr>
    <w:rPr>
      <w:rFonts w:ascii="Arial" w:hAnsi="Arial"/>
      <w:b/>
      <w:i/>
      <w:sz w:val="32"/>
      <w:szCs w:val="20"/>
      <w:shd w:val="clear" w:color="auto" w:fill="FFFFFF"/>
    </w:rPr>
  </w:style>
  <w:style w:type="character" w:customStyle="1" w:styleId="84">
    <w:name w:val="Σώμα κειμένου (8)4"/>
    <w:uiPriority w:val="99"/>
    <w:rsid w:val="00CA240D"/>
    <w:rPr>
      <w:rFonts w:ascii="Arial" w:hAnsi="Arial"/>
      <w:b/>
      <w:i/>
      <w:color w:val="000000"/>
      <w:spacing w:val="0"/>
      <w:w w:val="100"/>
      <w:position w:val="0"/>
      <w:sz w:val="32"/>
      <w:u w:val="none"/>
      <w:effect w:val="none"/>
      <w:lang w:val="en-US" w:eastAsia="en-US"/>
    </w:rPr>
  </w:style>
  <w:style w:type="paragraph" w:styleId="EndnoteText">
    <w:name w:val="endnote text"/>
    <w:basedOn w:val="Normal"/>
    <w:link w:val="EndnoteTextChar"/>
    <w:uiPriority w:val="99"/>
    <w:semiHidden/>
    <w:locked/>
    <w:rsid w:val="009C1C77"/>
    <w:rPr>
      <w:sz w:val="20"/>
      <w:szCs w:val="20"/>
    </w:rPr>
  </w:style>
  <w:style w:type="character" w:customStyle="1" w:styleId="EndnoteTextChar">
    <w:name w:val="Endnote Text Char"/>
    <w:link w:val="EndnoteText"/>
    <w:uiPriority w:val="99"/>
    <w:semiHidden/>
    <w:locked/>
    <w:rsid w:val="009C1C77"/>
    <w:rPr>
      <w:sz w:val="20"/>
    </w:rPr>
  </w:style>
  <w:style w:type="character" w:styleId="EndnoteReference">
    <w:name w:val="endnote reference"/>
    <w:uiPriority w:val="99"/>
    <w:semiHidden/>
    <w:locked/>
    <w:rsid w:val="009C1C77"/>
    <w:rPr>
      <w:rFonts w:cs="Times New Roman"/>
      <w:vertAlign w:val="superscript"/>
    </w:rPr>
  </w:style>
  <w:style w:type="numbering" w:customStyle="1" w:styleId="1">
    <w:name w:val="Χωρίς λίστα1"/>
    <w:next w:val="NoList"/>
    <w:uiPriority w:val="99"/>
    <w:semiHidden/>
    <w:unhideWhenUsed/>
    <w:rsid w:val="00407E9F"/>
  </w:style>
  <w:style w:type="character" w:customStyle="1" w:styleId="fontstyle01">
    <w:name w:val="fontstyle01"/>
    <w:uiPriority w:val="99"/>
    <w:rsid w:val="00407E9F"/>
    <w:rPr>
      <w:rFonts w:ascii="DroidArabicKufi" w:hAnsi="DroidArabicKufi"/>
      <w:color w:val="000000"/>
      <w:sz w:val="20"/>
    </w:rPr>
  </w:style>
  <w:style w:type="character" w:customStyle="1" w:styleId="Heading1Char">
    <w:name w:val="Heading 1 Char"/>
    <w:link w:val="Heading1"/>
    <w:uiPriority w:val="9"/>
    <w:rsid w:val="00FC6304"/>
    <w:rPr>
      <w:rFonts w:ascii="Cambria" w:hAnsi="Cambria"/>
      <w:b/>
      <w:bCs/>
      <w:kern w:val="32"/>
      <w:sz w:val="32"/>
      <w:szCs w:val="32"/>
      <w:lang w:val="el-GR" w:eastAsia="el-GR"/>
    </w:rPr>
  </w:style>
  <w:style w:type="character" w:customStyle="1" w:styleId="Heading2Char">
    <w:name w:val="Heading 2 Char"/>
    <w:link w:val="Heading2"/>
    <w:uiPriority w:val="9"/>
    <w:rsid w:val="00FC6304"/>
    <w:rPr>
      <w:rFonts w:ascii="Cambria" w:hAnsi="Cambria"/>
      <w:b/>
      <w:bCs/>
      <w:i/>
      <w:iCs/>
      <w:sz w:val="28"/>
      <w:szCs w:val="28"/>
      <w:lang w:val="el-GR" w:eastAsia="el-GR"/>
    </w:rPr>
  </w:style>
  <w:style w:type="character" w:customStyle="1" w:styleId="Heading3Char">
    <w:name w:val="Heading 3 Char"/>
    <w:link w:val="Heading3"/>
    <w:uiPriority w:val="9"/>
    <w:rsid w:val="00FC6304"/>
    <w:rPr>
      <w:rFonts w:ascii="Cambria" w:hAnsi="Cambria"/>
      <w:b/>
      <w:bCs/>
      <w:sz w:val="26"/>
      <w:szCs w:val="26"/>
      <w:lang w:val="el-GR" w:eastAsia="el-GR"/>
    </w:rPr>
  </w:style>
  <w:style w:type="character" w:customStyle="1" w:styleId="Heading5Char">
    <w:name w:val="Heading 5 Char"/>
    <w:link w:val="Heading5"/>
    <w:uiPriority w:val="9"/>
    <w:semiHidden/>
    <w:rsid w:val="00FC6304"/>
    <w:rPr>
      <w:rFonts w:ascii="Calibri" w:hAnsi="Calibri" w:cs="Arial"/>
      <w:b/>
      <w:bCs/>
      <w:i/>
      <w:iCs/>
      <w:sz w:val="26"/>
      <w:szCs w:val="26"/>
      <w:lang w:val="el-GR" w:eastAsia="el-GR"/>
    </w:rPr>
  </w:style>
  <w:style w:type="paragraph" w:styleId="BodyText2">
    <w:name w:val="Body Text 2"/>
    <w:basedOn w:val="Normal"/>
    <w:link w:val="BodyText2Char"/>
    <w:semiHidden/>
    <w:unhideWhenUsed/>
    <w:locked/>
    <w:rsid w:val="00FC6304"/>
    <w:pPr>
      <w:spacing w:after="120" w:line="480" w:lineRule="auto"/>
    </w:pPr>
  </w:style>
  <w:style w:type="character" w:customStyle="1" w:styleId="BodyText2Char">
    <w:name w:val="Body Text 2 Char"/>
    <w:link w:val="BodyText2"/>
    <w:semiHidden/>
    <w:rsid w:val="00FC6304"/>
    <w:rPr>
      <w:sz w:val="24"/>
      <w:szCs w:val="24"/>
      <w:lang w:val="el-GR" w:eastAsia="el-GR"/>
    </w:rPr>
  </w:style>
  <w:style w:type="paragraph" w:styleId="Title">
    <w:name w:val="Title"/>
    <w:basedOn w:val="Normal"/>
    <w:link w:val="TitleChar"/>
    <w:uiPriority w:val="10"/>
    <w:qFormat/>
    <w:locked/>
    <w:rsid w:val="00FC6304"/>
    <w:pPr>
      <w:jc w:val="center"/>
    </w:pPr>
    <w:rPr>
      <w:b/>
      <w:bCs/>
    </w:rPr>
  </w:style>
  <w:style w:type="character" w:customStyle="1" w:styleId="TitleChar">
    <w:name w:val="Title Char"/>
    <w:link w:val="Title"/>
    <w:uiPriority w:val="10"/>
    <w:rsid w:val="00FC6304"/>
    <w:rPr>
      <w:b/>
      <w:bCs/>
      <w:sz w:val="24"/>
      <w:szCs w:val="24"/>
    </w:rPr>
  </w:style>
  <w:style w:type="paragraph" w:styleId="BlockText">
    <w:name w:val="Block Text"/>
    <w:basedOn w:val="Normal"/>
    <w:semiHidden/>
    <w:locked/>
    <w:rsid w:val="00FC6304"/>
    <w:pPr>
      <w:tabs>
        <w:tab w:val="right" w:pos="8647"/>
      </w:tabs>
      <w:ind w:left="1134" w:right="566"/>
      <w:jc w:val="lowKashida"/>
    </w:pPr>
    <w:rPr>
      <w:rFonts w:cs="Traditional Arabic"/>
      <w:szCs w:val="20"/>
      <w:lang w:val="en-US" w:eastAsia="ar-SA"/>
    </w:rPr>
  </w:style>
  <w:style w:type="paragraph" w:customStyle="1" w:styleId="xl27">
    <w:name w:val="xl27"/>
    <w:basedOn w:val="Normal"/>
    <w:rsid w:val="00FC6304"/>
    <w:pPr>
      <w:pBdr>
        <w:left w:val="single" w:sz="4" w:space="0" w:color="auto"/>
        <w:bottom w:val="single" w:sz="4" w:space="0" w:color="auto"/>
        <w:right w:val="single" w:sz="4" w:space="0" w:color="auto"/>
      </w:pBdr>
      <w:spacing w:before="100" w:beforeAutospacing="1" w:after="100" w:afterAutospacing="1"/>
    </w:pPr>
    <w:rPr>
      <w:rFonts w:cs="Simplified Arabic"/>
      <w:lang w:val="en-US" w:eastAsia="en-US"/>
    </w:rPr>
  </w:style>
  <w:style w:type="character" w:customStyle="1" w:styleId="Heading9Char">
    <w:name w:val="Heading 9 Char"/>
    <w:link w:val="Heading9"/>
    <w:uiPriority w:val="9"/>
    <w:semiHidden/>
    <w:rsid w:val="009C7BF4"/>
    <w:rPr>
      <w:rFonts w:ascii="Cambria" w:eastAsia="Times New Roman" w:hAnsi="Cambria" w:cs="Times New Roman"/>
      <w:i/>
      <w:iCs/>
      <w:color w:val="404040"/>
      <w:lang w:val="el-GR" w:eastAsia="el-GR"/>
    </w:rPr>
  </w:style>
  <w:style w:type="character" w:customStyle="1" w:styleId="shorttext">
    <w:name w:val="short_text"/>
    <w:basedOn w:val="DefaultParagraphFont"/>
    <w:rsid w:val="009C7BF4"/>
  </w:style>
  <w:style w:type="character" w:styleId="FollowedHyperlink">
    <w:name w:val="FollowedHyperlink"/>
    <w:uiPriority w:val="99"/>
    <w:semiHidden/>
    <w:unhideWhenUsed/>
    <w:locked/>
    <w:rsid w:val="00E127EA"/>
    <w:rPr>
      <w:color w:val="954F72"/>
      <w:u w:val="single"/>
    </w:rPr>
  </w:style>
  <w:style w:type="paragraph" w:customStyle="1" w:styleId="xl67">
    <w:name w:val="xl67"/>
    <w:basedOn w:val="Normal"/>
    <w:rsid w:val="00E127EA"/>
    <w:pPr>
      <w:spacing w:before="100" w:beforeAutospacing="1" w:after="100" w:afterAutospacing="1"/>
      <w:textAlignment w:val="center"/>
    </w:pPr>
    <w:rPr>
      <w:rFonts w:ascii="Century Gothic" w:hAnsi="Century Gothic"/>
      <w:color w:val="000000"/>
      <w:sz w:val="20"/>
      <w:szCs w:val="20"/>
      <w:lang w:val="en-US" w:eastAsia="en-US"/>
    </w:rPr>
  </w:style>
  <w:style w:type="paragraph" w:customStyle="1" w:styleId="xl68">
    <w:name w:val="xl68"/>
    <w:basedOn w:val="Normal"/>
    <w:rsid w:val="00E127EA"/>
    <w:pPr>
      <w:spacing w:before="100" w:beforeAutospacing="1" w:after="100" w:afterAutospacing="1"/>
      <w:ind w:firstLineChars="100" w:firstLine="100"/>
      <w:jc w:val="right"/>
      <w:textAlignment w:val="center"/>
    </w:pPr>
    <w:rPr>
      <w:rFonts w:ascii="Century Gothic" w:hAnsi="Century Gothic"/>
      <w:color w:val="000000"/>
      <w:sz w:val="20"/>
      <w:szCs w:val="20"/>
      <w:lang w:val="en-US" w:eastAsia="en-US"/>
    </w:rPr>
  </w:style>
  <w:style w:type="paragraph" w:customStyle="1" w:styleId="xl69">
    <w:name w:val="xl69"/>
    <w:basedOn w:val="Normal"/>
    <w:rsid w:val="00E127EA"/>
    <w:pPr>
      <w:spacing w:before="100" w:beforeAutospacing="1" w:after="100" w:afterAutospacing="1"/>
      <w:ind w:firstLineChars="100" w:firstLine="100"/>
      <w:textAlignment w:val="center"/>
    </w:pPr>
    <w:rPr>
      <w:rFonts w:ascii="Century Gothic" w:hAnsi="Century Gothic"/>
      <w:color w:val="000000"/>
      <w:sz w:val="20"/>
      <w:szCs w:val="20"/>
      <w:lang w:val="en-US" w:eastAsia="en-US"/>
    </w:rPr>
  </w:style>
  <w:style w:type="paragraph" w:customStyle="1" w:styleId="xl70">
    <w:name w:val="xl70"/>
    <w:basedOn w:val="Normal"/>
    <w:rsid w:val="00E127EA"/>
    <w:pPr>
      <w:spacing w:before="100" w:beforeAutospacing="1" w:after="100" w:afterAutospacing="1"/>
      <w:ind w:firstLineChars="300" w:firstLine="300"/>
      <w:jc w:val="right"/>
      <w:textAlignment w:val="center"/>
    </w:pPr>
    <w:rPr>
      <w:rFonts w:ascii="Century Gothic" w:hAnsi="Century Gothic"/>
      <w:b/>
      <w:bCs/>
      <w:color w:val="000000"/>
      <w:sz w:val="20"/>
      <w:szCs w:val="20"/>
      <w:lang w:val="en-US" w:eastAsia="en-US"/>
    </w:rPr>
  </w:style>
  <w:style w:type="paragraph" w:customStyle="1" w:styleId="xl71">
    <w:name w:val="xl71"/>
    <w:basedOn w:val="Normal"/>
    <w:rsid w:val="00E127EA"/>
    <w:pPr>
      <w:shd w:val="clear" w:color="000000" w:fill="008000"/>
      <w:spacing w:before="100" w:beforeAutospacing="1" w:after="100" w:afterAutospacing="1"/>
      <w:jc w:val="center"/>
      <w:textAlignment w:val="center"/>
    </w:pPr>
    <w:rPr>
      <w:rFonts w:ascii="Century Gothic" w:hAnsi="Century Gothic"/>
      <w:b/>
      <w:bCs/>
      <w:color w:val="FFFFFF"/>
      <w:lang w:val="en-US" w:eastAsia="en-US"/>
    </w:rPr>
  </w:style>
  <w:style w:type="paragraph" w:customStyle="1" w:styleId="xl72">
    <w:name w:val="xl72"/>
    <w:basedOn w:val="Normal"/>
    <w:rsid w:val="00E127EA"/>
    <w:pPr>
      <w:shd w:val="clear" w:color="000000" w:fill="008000"/>
      <w:spacing w:before="100" w:beforeAutospacing="1" w:after="100" w:afterAutospacing="1"/>
      <w:ind w:firstLineChars="100" w:firstLine="100"/>
      <w:jc w:val="right"/>
      <w:textAlignment w:val="center"/>
    </w:pPr>
    <w:rPr>
      <w:rFonts w:ascii="Century Gothic" w:hAnsi="Century Gothic"/>
      <w:b/>
      <w:bCs/>
      <w:color w:val="FFFFFF"/>
      <w:lang w:val="en-US" w:eastAsia="en-US"/>
    </w:rPr>
  </w:style>
  <w:style w:type="paragraph" w:customStyle="1" w:styleId="xl73">
    <w:name w:val="xl73"/>
    <w:basedOn w:val="Normal"/>
    <w:rsid w:val="00E127EA"/>
    <w:pPr>
      <w:shd w:val="clear" w:color="000000" w:fill="008000"/>
      <w:spacing w:before="100" w:beforeAutospacing="1" w:after="100" w:afterAutospacing="1"/>
      <w:ind w:firstLineChars="100" w:firstLine="100"/>
      <w:textAlignment w:val="center"/>
    </w:pPr>
    <w:rPr>
      <w:rFonts w:ascii="Century Gothic" w:hAnsi="Century Gothic"/>
      <w:b/>
      <w:bCs/>
      <w:color w:val="FFFFFF"/>
      <w:lang w:val="en-US" w:eastAsia="en-US"/>
    </w:rPr>
  </w:style>
  <w:style w:type="paragraph" w:customStyle="1" w:styleId="xl74">
    <w:name w:val="xl74"/>
    <w:basedOn w:val="Normal"/>
    <w:rsid w:val="00E127EA"/>
    <w:pPr>
      <w:shd w:val="clear" w:color="000000" w:fill="FFFF99"/>
      <w:spacing w:before="100" w:beforeAutospacing="1" w:after="100" w:afterAutospacing="1"/>
      <w:ind w:firstLineChars="300" w:firstLine="300"/>
      <w:jc w:val="right"/>
      <w:textAlignment w:val="center"/>
    </w:pPr>
    <w:rPr>
      <w:rFonts w:ascii="Century Gothic" w:hAnsi="Century Gothic"/>
      <w:b/>
      <w:bCs/>
      <w:color w:val="000000"/>
      <w:sz w:val="20"/>
      <w:szCs w:val="20"/>
      <w:lang w:val="en-US" w:eastAsia="en-US"/>
    </w:rPr>
  </w:style>
  <w:style w:type="paragraph" w:styleId="PlainText">
    <w:name w:val="Plain Text"/>
    <w:basedOn w:val="Normal"/>
    <w:link w:val="PlainTextChar"/>
    <w:uiPriority w:val="99"/>
    <w:unhideWhenUsed/>
    <w:locked/>
    <w:rsid w:val="00B03F71"/>
    <w:pPr>
      <w:spacing w:before="100" w:beforeAutospacing="1" w:after="100" w:afterAutospacing="1"/>
    </w:pPr>
  </w:style>
  <w:style w:type="character" w:customStyle="1" w:styleId="PlainTextChar">
    <w:name w:val="Plain Text Char"/>
    <w:link w:val="PlainText"/>
    <w:uiPriority w:val="99"/>
    <w:rsid w:val="00B03F71"/>
    <w:rPr>
      <w:sz w:val="24"/>
      <w:szCs w:val="24"/>
    </w:rPr>
  </w:style>
  <w:style w:type="character" w:customStyle="1" w:styleId="tlid-translation">
    <w:name w:val="tlid-translation"/>
    <w:rsid w:val="00CC51CD"/>
  </w:style>
  <w:style w:type="paragraph" w:styleId="BodyTextIndent">
    <w:name w:val="Body Text Indent"/>
    <w:basedOn w:val="Normal"/>
    <w:link w:val="BodyTextIndentChar"/>
    <w:uiPriority w:val="99"/>
    <w:semiHidden/>
    <w:unhideWhenUsed/>
    <w:locked/>
    <w:rsid w:val="00035651"/>
    <w:pPr>
      <w:spacing w:after="120"/>
      <w:ind w:left="283"/>
    </w:pPr>
  </w:style>
  <w:style w:type="character" w:customStyle="1" w:styleId="BodyTextIndentChar">
    <w:name w:val="Body Text Indent Char"/>
    <w:link w:val="BodyTextIndent"/>
    <w:uiPriority w:val="99"/>
    <w:semiHidden/>
    <w:rsid w:val="00035651"/>
    <w:rPr>
      <w:sz w:val="24"/>
      <w:szCs w:val="24"/>
      <w:lang w:val="el-GR" w:eastAsia="el-GR"/>
    </w:rPr>
  </w:style>
  <w:style w:type="paragraph" w:styleId="BodyTextIndent3">
    <w:name w:val="Body Text Indent 3"/>
    <w:basedOn w:val="Normal"/>
    <w:link w:val="BodyTextIndent3Char"/>
    <w:uiPriority w:val="99"/>
    <w:semiHidden/>
    <w:unhideWhenUsed/>
    <w:locked/>
    <w:rsid w:val="00035651"/>
    <w:pPr>
      <w:spacing w:after="120"/>
      <w:ind w:left="283"/>
    </w:pPr>
    <w:rPr>
      <w:sz w:val="16"/>
      <w:szCs w:val="16"/>
    </w:rPr>
  </w:style>
  <w:style w:type="character" w:customStyle="1" w:styleId="BodyTextIndent3Char">
    <w:name w:val="Body Text Indent 3 Char"/>
    <w:link w:val="BodyTextIndent3"/>
    <w:uiPriority w:val="99"/>
    <w:semiHidden/>
    <w:rsid w:val="00035651"/>
    <w:rPr>
      <w:sz w:val="16"/>
      <w:szCs w:val="16"/>
      <w:lang w:val="el-GR" w:eastAsia="el-GR"/>
    </w:rPr>
  </w:style>
  <w:style w:type="character" w:customStyle="1" w:styleId="Char">
    <w:name w:val="رأس صفحة Char"/>
    <w:uiPriority w:val="99"/>
    <w:locked/>
    <w:rsid w:val="0032673A"/>
    <w:rPr>
      <w:sz w:val="24"/>
    </w:rPr>
  </w:style>
  <w:style w:type="character" w:customStyle="1" w:styleId="Char0">
    <w:name w:val="تذييل صفحة Char"/>
    <w:uiPriority w:val="99"/>
    <w:locked/>
    <w:rsid w:val="0032673A"/>
    <w:rPr>
      <w:sz w:val="24"/>
    </w:rPr>
  </w:style>
  <w:style w:type="character" w:customStyle="1" w:styleId="Heading4Char">
    <w:name w:val="Heading 4 Char"/>
    <w:basedOn w:val="DefaultParagraphFont"/>
    <w:link w:val="Heading4"/>
    <w:uiPriority w:val="9"/>
    <w:semiHidden/>
    <w:rsid w:val="00D06E51"/>
    <w:rPr>
      <w:rFonts w:asciiTheme="majorHAnsi" w:eastAsiaTheme="majorEastAsia" w:hAnsiTheme="majorHAnsi" w:cstheme="majorBidi"/>
      <w:sz w:val="22"/>
      <w:szCs w:val="22"/>
    </w:rPr>
  </w:style>
  <w:style w:type="character" w:customStyle="1" w:styleId="Heading6Char">
    <w:name w:val="Heading 6 Char"/>
    <w:basedOn w:val="DefaultParagraphFont"/>
    <w:link w:val="Heading6"/>
    <w:uiPriority w:val="9"/>
    <w:semiHidden/>
    <w:rsid w:val="00D06E51"/>
    <w:rPr>
      <w:rFonts w:asciiTheme="majorHAnsi" w:eastAsiaTheme="majorEastAsia" w:hAnsiTheme="majorHAnsi" w:cstheme="majorBidi"/>
      <w:i/>
      <w:iCs/>
      <w:color w:val="1F497D" w:themeColor="text2"/>
      <w:sz w:val="21"/>
      <w:szCs w:val="21"/>
    </w:rPr>
  </w:style>
  <w:style w:type="character" w:customStyle="1" w:styleId="Heading8Char">
    <w:name w:val="Heading 8 Char"/>
    <w:basedOn w:val="DefaultParagraphFont"/>
    <w:link w:val="Heading8"/>
    <w:uiPriority w:val="9"/>
    <w:semiHidden/>
    <w:rsid w:val="00D06E51"/>
    <w:rPr>
      <w:rFonts w:asciiTheme="majorHAnsi" w:eastAsiaTheme="majorEastAsia" w:hAnsiTheme="majorHAnsi" w:cstheme="majorBidi"/>
      <w:b/>
      <w:bCs/>
      <w:color w:val="1F497D" w:themeColor="text2"/>
    </w:rPr>
  </w:style>
  <w:style w:type="numbering" w:customStyle="1" w:styleId="NoList1">
    <w:name w:val="No List1"/>
    <w:next w:val="NoList"/>
    <w:uiPriority w:val="99"/>
    <w:semiHidden/>
    <w:unhideWhenUsed/>
    <w:rsid w:val="00D06E51"/>
  </w:style>
  <w:style w:type="table" w:customStyle="1" w:styleId="TableGrid1">
    <w:name w:val="Table Grid1"/>
    <w:basedOn w:val="TableNormal"/>
    <w:next w:val="TableGrid"/>
    <w:uiPriority w:val="39"/>
    <w:rsid w:val="00D06E51"/>
    <w:pPr>
      <w:spacing w:after="120" w:line="264" w:lineRule="auto"/>
    </w:pPr>
    <w:rPr>
      <w:rFonts w:ascii="Calibri" w:eastAsiaTheme="minorEastAsia" w:hAnsi="Calibr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Χωρίς λίστα11"/>
    <w:next w:val="NoList"/>
    <w:uiPriority w:val="99"/>
    <w:semiHidden/>
    <w:unhideWhenUsed/>
    <w:rsid w:val="00D06E51"/>
  </w:style>
  <w:style w:type="paragraph" w:styleId="Caption">
    <w:name w:val="caption"/>
    <w:basedOn w:val="Normal"/>
    <w:next w:val="Normal"/>
    <w:uiPriority w:val="35"/>
    <w:semiHidden/>
    <w:unhideWhenUsed/>
    <w:qFormat/>
    <w:locked/>
    <w:rsid w:val="00D06E51"/>
    <w:pPr>
      <w:spacing w:after="120"/>
    </w:pPr>
    <w:rPr>
      <w:rFonts w:asciiTheme="minorHAnsi" w:eastAsiaTheme="minorEastAsia" w:hAnsiTheme="minorHAnsi" w:cstheme="minorBidi"/>
      <w:b/>
      <w:bCs/>
      <w:smallCaps/>
      <w:color w:val="595959" w:themeColor="text1" w:themeTint="A6"/>
      <w:spacing w:val="6"/>
      <w:sz w:val="20"/>
      <w:szCs w:val="20"/>
      <w:lang w:val="en-US" w:eastAsia="en-US"/>
    </w:rPr>
  </w:style>
  <w:style w:type="paragraph" w:styleId="Subtitle">
    <w:name w:val="Subtitle"/>
    <w:basedOn w:val="Normal"/>
    <w:next w:val="Normal"/>
    <w:link w:val="SubtitleChar"/>
    <w:uiPriority w:val="11"/>
    <w:qFormat/>
    <w:locked/>
    <w:rsid w:val="00D06E51"/>
    <w:pPr>
      <w:numPr>
        <w:ilvl w:val="1"/>
      </w:numPr>
      <w:spacing w:after="120"/>
    </w:pPr>
    <w:rPr>
      <w:rFonts w:asciiTheme="majorHAnsi" w:eastAsiaTheme="majorEastAsia" w:hAnsiTheme="majorHAnsi" w:cstheme="majorBidi"/>
      <w:lang w:val="en-US" w:eastAsia="en-US"/>
    </w:rPr>
  </w:style>
  <w:style w:type="character" w:customStyle="1" w:styleId="SubtitleChar">
    <w:name w:val="Subtitle Char"/>
    <w:basedOn w:val="DefaultParagraphFont"/>
    <w:link w:val="Subtitle"/>
    <w:uiPriority w:val="11"/>
    <w:rsid w:val="00D06E51"/>
    <w:rPr>
      <w:rFonts w:asciiTheme="majorHAnsi" w:eastAsiaTheme="majorEastAsia" w:hAnsiTheme="majorHAnsi" w:cstheme="majorBidi"/>
      <w:sz w:val="24"/>
      <w:szCs w:val="24"/>
    </w:rPr>
  </w:style>
  <w:style w:type="character" w:styleId="Emphasis">
    <w:name w:val="Emphasis"/>
    <w:basedOn w:val="DefaultParagraphFont"/>
    <w:uiPriority w:val="20"/>
    <w:qFormat/>
    <w:locked/>
    <w:rsid w:val="00D06E51"/>
    <w:rPr>
      <w:i/>
      <w:iCs/>
    </w:rPr>
  </w:style>
  <w:style w:type="paragraph" w:styleId="NoSpacing">
    <w:name w:val="No Spacing"/>
    <w:uiPriority w:val="1"/>
    <w:qFormat/>
    <w:rsid w:val="00D06E51"/>
    <w:rPr>
      <w:rFonts w:asciiTheme="minorHAnsi" w:eastAsiaTheme="minorEastAsia" w:hAnsiTheme="minorHAnsi" w:cstheme="minorBidi"/>
    </w:rPr>
  </w:style>
  <w:style w:type="paragraph" w:styleId="Quote">
    <w:name w:val="Quote"/>
    <w:basedOn w:val="Normal"/>
    <w:next w:val="Normal"/>
    <w:link w:val="QuoteChar"/>
    <w:uiPriority w:val="29"/>
    <w:qFormat/>
    <w:rsid w:val="00D06E51"/>
    <w:pPr>
      <w:spacing w:before="160" w:after="120" w:line="264" w:lineRule="auto"/>
      <w:ind w:left="720" w:right="720"/>
    </w:pPr>
    <w:rPr>
      <w:rFonts w:asciiTheme="minorHAnsi" w:eastAsiaTheme="minorEastAsia" w:hAnsiTheme="minorHAnsi" w:cstheme="minorBidi"/>
      <w:i/>
      <w:iCs/>
      <w:color w:val="404040" w:themeColor="text1" w:themeTint="BF"/>
      <w:sz w:val="20"/>
      <w:szCs w:val="20"/>
      <w:lang w:val="en-US" w:eastAsia="en-US"/>
    </w:rPr>
  </w:style>
  <w:style w:type="character" w:customStyle="1" w:styleId="QuoteChar">
    <w:name w:val="Quote Char"/>
    <w:basedOn w:val="DefaultParagraphFont"/>
    <w:link w:val="Quote"/>
    <w:uiPriority w:val="29"/>
    <w:rsid w:val="00D06E51"/>
    <w:rPr>
      <w:rFonts w:asciiTheme="minorHAnsi" w:eastAsiaTheme="minorEastAsia" w:hAnsiTheme="minorHAnsi" w:cstheme="minorBidi"/>
      <w:i/>
      <w:iCs/>
      <w:color w:val="404040" w:themeColor="text1" w:themeTint="BF"/>
    </w:rPr>
  </w:style>
  <w:style w:type="paragraph" w:styleId="IntenseQuote">
    <w:name w:val="Intense Quote"/>
    <w:basedOn w:val="Normal"/>
    <w:next w:val="Normal"/>
    <w:link w:val="IntenseQuoteChar"/>
    <w:uiPriority w:val="30"/>
    <w:qFormat/>
    <w:rsid w:val="00D06E51"/>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lang w:val="en-US" w:eastAsia="en-US"/>
    </w:rPr>
  </w:style>
  <w:style w:type="character" w:customStyle="1" w:styleId="IntenseQuoteChar">
    <w:name w:val="Intense Quote Char"/>
    <w:basedOn w:val="DefaultParagraphFont"/>
    <w:link w:val="IntenseQuote"/>
    <w:uiPriority w:val="30"/>
    <w:rsid w:val="00D06E51"/>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D06E51"/>
    <w:rPr>
      <w:i/>
      <w:iCs/>
      <w:color w:val="404040" w:themeColor="text1" w:themeTint="BF"/>
    </w:rPr>
  </w:style>
  <w:style w:type="character" w:styleId="IntenseEmphasis">
    <w:name w:val="Intense Emphasis"/>
    <w:basedOn w:val="DefaultParagraphFont"/>
    <w:uiPriority w:val="21"/>
    <w:qFormat/>
    <w:rsid w:val="00D06E51"/>
    <w:rPr>
      <w:b/>
      <w:bCs/>
      <w:i/>
      <w:iCs/>
    </w:rPr>
  </w:style>
  <w:style w:type="character" w:styleId="SubtleReference">
    <w:name w:val="Subtle Reference"/>
    <w:basedOn w:val="DefaultParagraphFont"/>
    <w:uiPriority w:val="31"/>
    <w:qFormat/>
    <w:rsid w:val="00D06E5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06E51"/>
    <w:rPr>
      <w:b/>
      <w:bCs/>
      <w:smallCaps/>
      <w:spacing w:val="5"/>
      <w:u w:val="single"/>
    </w:rPr>
  </w:style>
  <w:style w:type="character" w:styleId="BookTitle">
    <w:name w:val="Book Title"/>
    <w:basedOn w:val="DefaultParagraphFont"/>
    <w:uiPriority w:val="33"/>
    <w:qFormat/>
    <w:rsid w:val="00D06E51"/>
    <w:rPr>
      <w:b/>
      <w:bCs/>
      <w:smallCaps/>
    </w:rPr>
  </w:style>
  <w:style w:type="paragraph" w:styleId="TOCHeading">
    <w:name w:val="TOC Heading"/>
    <w:basedOn w:val="Heading1"/>
    <w:next w:val="Normal"/>
    <w:uiPriority w:val="39"/>
    <w:semiHidden/>
    <w:unhideWhenUsed/>
    <w:qFormat/>
    <w:rsid w:val="00D06E51"/>
    <w:pPr>
      <w:keepLines/>
      <w:spacing w:before="320" w:after="0"/>
      <w:outlineLvl w:val="9"/>
    </w:pPr>
    <w:rPr>
      <w:rFonts w:asciiTheme="majorHAnsi" w:eastAsiaTheme="majorEastAsia" w:hAnsiTheme="majorHAnsi" w:cstheme="majorBidi"/>
      <w:b w:val="0"/>
      <w:bCs w:val="0"/>
      <w:color w:val="365F91" w:themeColor="accent1" w:themeShade="BF"/>
      <w:kern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22934">
      <w:bodyDiv w:val="1"/>
      <w:marLeft w:val="0"/>
      <w:marRight w:val="0"/>
      <w:marTop w:val="0"/>
      <w:marBottom w:val="0"/>
      <w:divBdr>
        <w:top w:val="none" w:sz="0" w:space="0" w:color="auto"/>
        <w:left w:val="none" w:sz="0" w:space="0" w:color="auto"/>
        <w:bottom w:val="none" w:sz="0" w:space="0" w:color="auto"/>
        <w:right w:val="none" w:sz="0" w:space="0" w:color="auto"/>
      </w:divBdr>
    </w:div>
    <w:div w:id="136339814">
      <w:bodyDiv w:val="1"/>
      <w:marLeft w:val="0"/>
      <w:marRight w:val="0"/>
      <w:marTop w:val="0"/>
      <w:marBottom w:val="0"/>
      <w:divBdr>
        <w:top w:val="none" w:sz="0" w:space="0" w:color="auto"/>
        <w:left w:val="none" w:sz="0" w:space="0" w:color="auto"/>
        <w:bottom w:val="none" w:sz="0" w:space="0" w:color="auto"/>
        <w:right w:val="none" w:sz="0" w:space="0" w:color="auto"/>
      </w:divBdr>
      <w:divsChild>
        <w:div w:id="1748309541">
          <w:marLeft w:val="0"/>
          <w:marRight w:val="0"/>
          <w:marTop w:val="0"/>
          <w:marBottom w:val="0"/>
          <w:divBdr>
            <w:top w:val="none" w:sz="0" w:space="0" w:color="auto"/>
            <w:left w:val="none" w:sz="0" w:space="0" w:color="auto"/>
            <w:bottom w:val="none" w:sz="0" w:space="0" w:color="auto"/>
            <w:right w:val="none" w:sz="0" w:space="0" w:color="auto"/>
          </w:divBdr>
        </w:div>
      </w:divsChild>
    </w:div>
    <w:div w:id="217712175">
      <w:bodyDiv w:val="1"/>
      <w:marLeft w:val="0"/>
      <w:marRight w:val="0"/>
      <w:marTop w:val="0"/>
      <w:marBottom w:val="0"/>
      <w:divBdr>
        <w:top w:val="none" w:sz="0" w:space="0" w:color="auto"/>
        <w:left w:val="none" w:sz="0" w:space="0" w:color="auto"/>
        <w:bottom w:val="none" w:sz="0" w:space="0" w:color="auto"/>
        <w:right w:val="none" w:sz="0" w:space="0" w:color="auto"/>
      </w:divBdr>
    </w:div>
    <w:div w:id="244654829">
      <w:marLeft w:val="0"/>
      <w:marRight w:val="0"/>
      <w:marTop w:val="0"/>
      <w:marBottom w:val="0"/>
      <w:divBdr>
        <w:top w:val="none" w:sz="0" w:space="0" w:color="auto"/>
        <w:left w:val="none" w:sz="0" w:space="0" w:color="auto"/>
        <w:bottom w:val="none" w:sz="0" w:space="0" w:color="auto"/>
        <w:right w:val="none" w:sz="0" w:space="0" w:color="auto"/>
      </w:divBdr>
    </w:div>
    <w:div w:id="244654830">
      <w:marLeft w:val="0"/>
      <w:marRight w:val="0"/>
      <w:marTop w:val="0"/>
      <w:marBottom w:val="0"/>
      <w:divBdr>
        <w:top w:val="none" w:sz="0" w:space="0" w:color="auto"/>
        <w:left w:val="none" w:sz="0" w:space="0" w:color="auto"/>
        <w:bottom w:val="none" w:sz="0" w:space="0" w:color="auto"/>
        <w:right w:val="none" w:sz="0" w:space="0" w:color="auto"/>
      </w:divBdr>
    </w:div>
    <w:div w:id="244654831">
      <w:marLeft w:val="0"/>
      <w:marRight w:val="0"/>
      <w:marTop w:val="0"/>
      <w:marBottom w:val="0"/>
      <w:divBdr>
        <w:top w:val="none" w:sz="0" w:space="0" w:color="auto"/>
        <w:left w:val="none" w:sz="0" w:space="0" w:color="auto"/>
        <w:bottom w:val="none" w:sz="0" w:space="0" w:color="auto"/>
        <w:right w:val="none" w:sz="0" w:space="0" w:color="auto"/>
      </w:divBdr>
    </w:div>
    <w:div w:id="244654832">
      <w:marLeft w:val="0"/>
      <w:marRight w:val="0"/>
      <w:marTop w:val="0"/>
      <w:marBottom w:val="0"/>
      <w:divBdr>
        <w:top w:val="none" w:sz="0" w:space="0" w:color="auto"/>
        <w:left w:val="none" w:sz="0" w:space="0" w:color="auto"/>
        <w:bottom w:val="none" w:sz="0" w:space="0" w:color="auto"/>
        <w:right w:val="none" w:sz="0" w:space="0" w:color="auto"/>
      </w:divBdr>
    </w:div>
    <w:div w:id="244654833">
      <w:marLeft w:val="0"/>
      <w:marRight w:val="0"/>
      <w:marTop w:val="0"/>
      <w:marBottom w:val="0"/>
      <w:divBdr>
        <w:top w:val="none" w:sz="0" w:space="0" w:color="auto"/>
        <w:left w:val="none" w:sz="0" w:space="0" w:color="auto"/>
        <w:bottom w:val="none" w:sz="0" w:space="0" w:color="auto"/>
        <w:right w:val="none" w:sz="0" w:space="0" w:color="auto"/>
      </w:divBdr>
    </w:div>
    <w:div w:id="244654834">
      <w:marLeft w:val="0"/>
      <w:marRight w:val="0"/>
      <w:marTop w:val="0"/>
      <w:marBottom w:val="0"/>
      <w:divBdr>
        <w:top w:val="none" w:sz="0" w:space="0" w:color="auto"/>
        <w:left w:val="none" w:sz="0" w:space="0" w:color="auto"/>
        <w:bottom w:val="none" w:sz="0" w:space="0" w:color="auto"/>
        <w:right w:val="none" w:sz="0" w:space="0" w:color="auto"/>
      </w:divBdr>
    </w:div>
    <w:div w:id="244654835">
      <w:marLeft w:val="0"/>
      <w:marRight w:val="0"/>
      <w:marTop w:val="0"/>
      <w:marBottom w:val="0"/>
      <w:divBdr>
        <w:top w:val="none" w:sz="0" w:space="0" w:color="auto"/>
        <w:left w:val="none" w:sz="0" w:space="0" w:color="auto"/>
        <w:bottom w:val="none" w:sz="0" w:space="0" w:color="auto"/>
        <w:right w:val="none" w:sz="0" w:space="0" w:color="auto"/>
      </w:divBdr>
    </w:div>
    <w:div w:id="244654836">
      <w:marLeft w:val="0"/>
      <w:marRight w:val="0"/>
      <w:marTop w:val="0"/>
      <w:marBottom w:val="0"/>
      <w:divBdr>
        <w:top w:val="none" w:sz="0" w:space="0" w:color="auto"/>
        <w:left w:val="none" w:sz="0" w:space="0" w:color="auto"/>
        <w:bottom w:val="none" w:sz="0" w:space="0" w:color="auto"/>
        <w:right w:val="none" w:sz="0" w:space="0" w:color="auto"/>
      </w:divBdr>
    </w:div>
    <w:div w:id="244654837">
      <w:marLeft w:val="0"/>
      <w:marRight w:val="0"/>
      <w:marTop w:val="0"/>
      <w:marBottom w:val="0"/>
      <w:divBdr>
        <w:top w:val="none" w:sz="0" w:space="0" w:color="auto"/>
        <w:left w:val="none" w:sz="0" w:space="0" w:color="auto"/>
        <w:bottom w:val="none" w:sz="0" w:space="0" w:color="auto"/>
        <w:right w:val="none" w:sz="0" w:space="0" w:color="auto"/>
      </w:divBdr>
    </w:div>
    <w:div w:id="244654838">
      <w:marLeft w:val="0"/>
      <w:marRight w:val="0"/>
      <w:marTop w:val="0"/>
      <w:marBottom w:val="0"/>
      <w:divBdr>
        <w:top w:val="none" w:sz="0" w:space="0" w:color="auto"/>
        <w:left w:val="none" w:sz="0" w:space="0" w:color="auto"/>
        <w:bottom w:val="none" w:sz="0" w:space="0" w:color="auto"/>
        <w:right w:val="none" w:sz="0" w:space="0" w:color="auto"/>
      </w:divBdr>
    </w:div>
    <w:div w:id="244654839">
      <w:marLeft w:val="0"/>
      <w:marRight w:val="0"/>
      <w:marTop w:val="0"/>
      <w:marBottom w:val="0"/>
      <w:divBdr>
        <w:top w:val="none" w:sz="0" w:space="0" w:color="auto"/>
        <w:left w:val="none" w:sz="0" w:space="0" w:color="auto"/>
        <w:bottom w:val="none" w:sz="0" w:space="0" w:color="auto"/>
        <w:right w:val="none" w:sz="0" w:space="0" w:color="auto"/>
      </w:divBdr>
    </w:div>
    <w:div w:id="244654840">
      <w:marLeft w:val="0"/>
      <w:marRight w:val="0"/>
      <w:marTop w:val="0"/>
      <w:marBottom w:val="0"/>
      <w:divBdr>
        <w:top w:val="none" w:sz="0" w:space="0" w:color="auto"/>
        <w:left w:val="none" w:sz="0" w:space="0" w:color="auto"/>
        <w:bottom w:val="none" w:sz="0" w:space="0" w:color="auto"/>
        <w:right w:val="none" w:sz="0" w:space="0" w:color="auto"/>
      </w:divBdr>
    </w:div>
    <w:div w:id="244654841">
      <w:marLeft w:val="0"/>
      <w:marRight w:val="0"/>
      <w:marTop w:val="0"/>
      <w:marBottom w:val="0"/>
      <w:divBdr>
        <w:top w:val="none" w:sz="0" w:space="0" w:color="auto"/>
        <w:left w:val="none" w:sz="0" w:space="0" w:color="auto"/>
        <w:bottom w:val="none" w:sz="0" w:space="0" w:color="auto"/>
        <w:right w:val="none" w:sz="0" w:space="0" w:color="auto"/>
      </w:divBdr>
    </w:div>
    <w:div w:id="244654842">
      <w:marLeft w:val="0"/>
      <w:marRight w:val="0"/>
      <w:marTop w:val="0"/>
      <w:marBottom w:val="0"/>
      <w:divBdr>
        <w:top w:val="none" w:sz="0" w:space="0" w:color="auto"/>
        <w:left w:val="none" w:sz="0" w:space="0" w:color="auto"/>
        <w:bottom w:val="none" w:sz="0" w:space="0" w:color="auto"/>
        <w:right w:val="none" w:sz="0" w:space="0" w:color="auto"/>
      </w:divBdr>
    </w:div>
    <w:div w:id="244654843">
      <w:marLeft w:val="0"/>
      <w:marRight w:val="0"/>
      <w:marTop w:val="0"/>
      <w:marBottom w:val="0"/>
      <w:divBdr>
        <w:top w:val="none" w:sz="0" w:space="0" w:color="auto"/>
        <w:left w:val="none" w:sz="0" w:space="0" w:color="auto"/>
        <w:bottom w:val="none" w:sz="0" w:space="0" w:color="auto"/>
        <w:right w:val="none" w:sz="0" w:space="0" w:color="auto"/>
      </w:divBdr>
    </w:div>
    <w:div w:id="244654844">
      <w:marLeft w:val="0"/>
      <w:marRight w:val="0"/>
      <w:marTop w:val="0"/>
      <w:marBottom w:val="0"/>
      <w:divBdr>
        <w:top w:val="none" w:sz="0" w:space="0" w:color="auto"/>
        <w:left w:val="none" w:sz="0" w:space="0" w:color="auto"/>
        <w:bottom w:val="none" w:sz="0" w:space="0" w:color="auto"/>
        <w:right w:val="none" w:sz="0" w:space="0" w:color="auto"/>
      </w:divBdr>
    </w:div>
    <w:div w:id="244654845">
      <w:marLeft w:val="0"/>
      <w:marRight w:val="0"/>
      <w:marTop w:val="0"/>
      <w:marBottom w:val="0"/>
      <w:divBdr>
        <w:top w:val="none" w:sz="0" w:space="0" w:color="auto"/>
        <w:left w:val="none" w:sz="0" w:space="0" w:color="auto"/>
        <w:bottom w:val="none" w:sz="0" w:space="0" w:color="auto"/>
        <w:right w:val="none" w:sz="0" w:space="0" w:color="auto"/>
      </w:divBdr>
    </w:div>
    <w:div w:id="244654846">
      <w:marLeft w:val="0"/>
      <w:marRight w:val="0"/>
      <w:marTop w:val="0"/>
      <w:marBottom w:val="0"/>
      <w:divBdr>
        <w:top w:val="none" w:sz="0" w:space="0" w:color="auto"/>
        <w:left w:val="none" w:sz="0" w:space="0" w:color="auto"/>
        <w:bottom w:val="none" w:sz="0" w:space="0" w:color="auto"/>
        <w:right w:val="none" w:sz="0" w:space="0" w:color="auto"/>
      </w:divBdr>
    </w:div>
    <w:div w:id="244654847">
      <w:marLeft w:val="0"/>
      <w:marRight w:val="0"/>
      <w:marTop w:val="0"/>
      <w:marBottom w:val="0"/>
      <w:divBdr>
        <w:top w:val="none" w:sz="0" w:space="0" w:color="auto"/>
        <w:left w:val="none" w:sz="0" w:space="0" w:color="auto"/>
        <w:bottom w:val="none" w:sz="0" w:space="0" w:color="auto"/>
        <w:right w:val="none" w:sz="0" w:space="0" w:color="auto"/>
      </w:divBdr>
    </w:div>
    <w:div w:id="244654848">
      <w:marLeft w:val="0"/>
      <w:marRight w:val="0"/>
      <w:marTop w:val="0"/>
      <w:marBottom w:val="0"/>
      <w:divBdr>
        <w:top w:val="none" w:sz="0" w:space="0" w:color="auto"/>
        <w:left w:val="none" w:sz="0" w:space="0" w:color="auto"/>
        <w:bottom w:val="none" w:sz="0" w:space="0" w:color="auto"/>
        <w:right w:val="none" w:sz="0" w:space="0" w:color="auto"/>
      </w:divBdr>
    </w:div>
    <w:div w:id="244654849">
      <w:marLeft w:val="0"/>
      <w:marRight w:val="0"/>
      <w:marTop w:val="0"/>
      <w:marBottom w:val="0"/>
      <w:divBdr>
        <w:top w:val="none" w:sz="0" w:space="0" w:color="auto"/>
        <w:left w:val="none" w:sz="0" w:space="0" w:color="auto"/>
        <w:bottom w:val="none" w:sz="0" w:space="0" w:color="auto"/>
        <w:right w:val="none" w:sz="0" w:space="0" w:color="auto"/>
      </w:divBdr>
    </w:div>
    <w:div w:id="244654850">
      <w:marLeft w:val="0"/>
      <w:marRight w:val="0"/>
      <w:marTop w:val="0"/>
      <w:marBottom w:val="0"/>
      <w:divBdr>
        <w:top w:val="none" w:sz="0" w:space="0" w:color="auto"/>
        <w:left w:val="none" w:sz="0" w:space="0" w:color="auto"/>
        <w:bottom w:val="none" w:sz="0" w:space="0" w:color="auto"/>
        <w:right w:val="none" w:sz="0" w:space="0" w:color="auto"/>
      </w:divBdr>
    </w:div>
    <w:div w:id="244654851">
      <w:marLeft w:val="0"/>
      <w:marRight w:val="0"/>
      <w:marTop w:val="0"/>
      <w:marBottom w:val="0"/>
      <w:divBdr>
        <w:top w:val="none" w:sz="0" w:space="0" w:color="auto"/>
        <w:left w:val="none" w:sz="0" w:space="0" w:color="auto"/>
        <w:bottom w:val="none" w:sz="0" w:space="0" w:color="auto"/>
        <w:right w:val="none" w:sz="0" w:space="0" w:color="auto"/>
      </w:divBdr>
    </w:div>
    <w:div w:id="244654852">
      <w:marLeft w:val="0"/>
      <w:marRight w:val="0"/>
      <w:marTop w:val="0"/>
      <w:marBottom w:val="0"/>
      <w:divBdr>
        <w:top w:val="none" w:sz="0" w:space="0" w:color="auto"/>
        <w:left w:val="none" w:sz="0" w:space="0" w:color="auto"/>
        <w:bottom w:val="none" w:sz="0" w:space="0" w:color="auto"/>
        <w:right w:val="none" w:sz="0" w:space="0" w:color="auto"/>
      </w:divBdr>
    </w:div>
    <w:div w:id="244654853">
      <w:marLeft w:val="0"/>
      <w:marRight w:val="0"/>
      <w:marTop w:val="0"/>
      <w:marBottom w:val="0"/>
      <w:divBdr>
        <w:top w:val="none" w:sz="0" w:space="0" w:color="auto"/>
        <w:left w:val="none" w:sz="0" w:space="0" w:color="auto"/>
        <w:bottom w:val="none" w:sz="0" w:space="0" w:color="auto"/>
        <w:right w:val="none" w:sz="0" w:space="0" w:color="auto"/>
      </w:divBdr>
    </w:div>
    <w:div w:id="244654854">
      <w:marLeft w:val="0"/>
      <w:marRight w:val="0"/>
      <w:marTop w:val="0"/>
      <w:marBottom w:val="0"/>
      <w:divBdr>
        <w:top w:val="none" w:sz="0" w:space="0" w:color="auto"/>
        <w:left w:val="none" w:sz="0" w:space="0" w:color="auto"/>
        <w:bottom w:val="none" w:sz="0" w:space="0" w:color="auto"/>
        <w:right w:val="none" w:sz="0" w:space="0" w:color="auto"/>
      </w:divBdr>
    </w:div>
    <w:div w:id="244654855">
      <w:marLeft w:val="0"/>
      <w:marRight w:val="0"/>
      <w:marTop w:val="0"/>
      <w:marBottom w:val="0"/>
      <w:divBdr>
        <w:top w:val="none" w:sz="0" w:space="0" w:color="auto"/>
        <w:left w:val="none" w:sz="0" w:space="0" w:color="auto"/>
        <w:bottom w:val="none" w:sz="0" w:space="0" w:color="auto"/>
        <w:right w:val="none" w:sz="0" w:space="0" w:color="auto"/>
      </w:divBdr>
    </w:div>
    <w:div w:id="244654856">
      <w:marLeft w:val="0"/>
      <w:marRight w:val="0"/>
      <w:marTop w:val="0"/>
      <w:marBottom w:val="0"/>
      <w:divBdr>
        <w:top w:val="none" w:sz="0" w:space="0" w:color="auto"/>
        <w:left w:val="none" w:sz="0" w:space="0" w:color="auto"/>
        <w:bottom w:val="none" w:sz="0" w:space="0" w:color="auto"/>
        <w:right w:val="none" w:sz="0" w:space="0" w:color="auto"/>
      </w:divBdr>
    </w:div>
    <w:div w:id="344672287">
      <w:bodyDiv w:val="1"/>
      <w:marLeft w:val="0"/>
      <w:marRight w:val="0"/>
      <w:marTop w:val="0"/>
      <w:marBottom w:val="0"/>
      <w:divBdr>
        <w:top w:val="none" w:sz="0" w:space="0" w:color="auto"/>
        <w:left w:val="none" w:sz="0" w:space="0" w:color="auto"/>
        <w:bottom w:val="none" w:sz="0" w:space="0" w:color="auto"/>
        <w:right w:val="none" w:sz="0" w:space="0" w:color="auto"/>
      </w:divBdr>
    </w:div>
    <w:div w:id="360978454">
      <w:bodyDiv w:val="1"/>
      <w:marLeft w:val="0"/>
      <w:marRight w:val="0"/>
      <w:marTop w:val="0"/>
      <w:marBottom w:val="0"/>
      <w:divBdr>
        <w:top w:val="none" w:sz="0" w:space="0" w:color="auto"/>
        <w:left w:val="none" w:sz="0" w:space="0" w:color="auto"/>
        <w:bottom w:val="none" w:sz="0" w:space="0" w:color="auto"/>
        <w:right w:val="none" w:sz="0" w:space="0" w:color="auto"/>
      </w:divBdr>
    </w:div>
    <w:div w:id="363529359">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16630695">
      <w:bodyDiv w:val="1"/>
      <w:marLeft w:val="0"/>
      <w:marRight w:val="0"/>
      <w:marTop w:val="0"/>
      <w:marBottom w:val="0"/>
      <w:divBdr>
        <w:top w:val="none" w:sz="0" w:space="0" w:color="auto"/>
        <w:left w:val="none" w:sz="0" w:space="0" w:color="auto"/>
        <w:bottom w:val="none" w:sz="0" w:space="0" w:color="auto"/>
        <w:right w:val="none" w:sz="0" w:space="0" w:color="auto"/>
      </w:divBdr>
    </w:div>
    <w:div w:id="422840920">
      <w:bodyDiv w:val="1"/>
      <w:marLeft w:val="0"/>
      <w:marRight w:val="0"/>
      <w:marTop w:val="0"/>
      <w:marBottom w:val="0"/>
      <w:divBdr>
        <w:top w:val="none" w:sz="0" w:space="0" w:color="auto"/>
        <w:left w:val="none" w:sz="0" w:space="0" w:color="auto"/>
        <w:bottom w:val="none" w:sz="0" w:space="0" w:color="auto"/>
        <w:right w:val="none" w:sz="0" w:space="0" w:color="auto"/>
      </w:divBdr>
    </w:div>
    <w:div w:id="464084429">
      <w:bodyDiv w:val="1"/>
      <w:marLeft w:val="0"/>
      <w:marRight w:val="0"/>
      <w:marTop w:val="0"/>
      <w:marBottom w:val="0"/>
      <w:divBdr>
        <w:top w:val="none" w:sz="0" w:space="0" w:color="auto"/>
        <w:left w:val="none" w:sz="0" w:space="0" w:color="auto"/>
        <w:bottom w:val="none" w:sz="0" w:space="0" w:color="auto"/>
        <w:right w:val="none" w:sz="0" w:space="0" w:color="auto"/>
      </w:divBdr>
    </w:div>
    <w:div w:id="474759039">
      <w:bodyDiv w:val="1"/>
      <w:marLeft w:val="0"/>
      <w:marRight w:val="0"/>
      <w:marTop w:val="0"/>
      <w:marBottom w:val="0"/>
      <w:divBdr>
        <w:top w:val="none" w:sz="0" w:space="0" w:color="auto"/>
        <w:left w:val="none" w:sz="0" w:space="0" w:color="auto"/>
        <w:bottom w:val="none" w:sz="0" w:space="0" w:color="auto"/>
        <w:right w:val="none" w:sz="0" w:space="0" w:color="auto"/>
      </w:divBdr>
    </w:div>
    <w:div w:id="520315510">
      <w:bodyDiv w:val="1"/>
      <w:marLeft w:val="0"/>
      <w:marRight w:val="0"/>
      <w:marTop w:val="0"/>
      <w:marBottom w:val="0"/>
      <w:divBdr>
        <w:top w:val="none" w:sz="0" w:space="0" w:color="auto"/>
        <w:left w:val="none" w:sz="0" w:space="0" w:color="auto"/>
        <w:bottom w:val="none" w:sz="0" w:space="0" w:color="auto"/>
        <w:right w:val="none" w:sz="0" w:space="0" w:color="auto"/>
      </w:divBdr>
    </w:div>
    <w:div w:id="568610338">
      <w:bodyDiv w:val="1"/>
      <w:marLeft w:val="0"/>
      <w:marRight w:val="0"/>
      <w:marTop w:val="0"/>
      <w:marBottom w:val="0"/>
      <w:divBdr>
        <w:top w:val="none" w:sz="0" w:space="0" w:color="auto"/>
        <w:left w:val="none" w:sz="0" w:space="0" w:color="auto"/>
        <w:bottom w:val="none" w:sz="0" w:space="0" w:color="auto"/>
        <w:right w:val="none" w:sz="0" w:space="0" w:color="auto"/>
      </w:divBdr>
    </w:div>
    <w:div w:id="588465551">
      <w:bodyDiv w:val="1"/>
      <w:marLeft w:val="0"/>
      <w:marRight w:val="0"/>
      <w:marTop w:val="0"/>
      <w:marBottom w:val="0"/>
      <w:divBdr>
        <w:top w:val="none" w:sz="0" w:space="0" w:color="auto"/>
        <w:left w:val="none" w:sz="0" w:space="0" w:color="auto"/>
        <w:bottom w:val="none" w:sz="0" w:space="0" w:color="auto"/>
        <w:right w:val="none" w:sz="0" w:space="0" w:color="auto"/>
      </w:divBdr>
    </w:div>
    <w:div w:id="626665688">
      <w:bodyDiv w:val="1"/>
      <w:marLeft w:val="0"/>
      <w:marRight w:val="0"/>
      <w:marTop w:val="0"/>
      <w:marBottom w:val="0"/>
      <w:divBdr>
        <w:top w:val="none" w:sz="0" w:space="0" w:color="auto"/>
        <w:left w:val="none" w:sz="0" w:space="0" w:color="auto"/>
        <w:bottom w:val="none" w:sz="0" w:space="0" w:color="auto"/>
        <w:right w:val="none" w:sz="0" w:space="0" w:color="auto"/>
      </w:divBdr>
    </w:div>
    <w:div w:id="633295077">
      <w:bodyDiv w:val="1"/>
      <w:marLeft w:val="0"/>
      <w:marRight w:val="0"/>
      <w:marTop w:val="0"/>
      <w:marBottom w:val="0"/>
      <w:divBdr>
        <w:top w:val="none" w:sz="0" w:space="0" w:color="auto"/>
        <w:left w:val="none" w:sz="0" w:space="0" w:color="auto"/>
        <w:bottom w:val="none" w:sz="0" w:space="0" w:color="auto"/>
        <w:right w:val="none" w:sz="0" w:space="0" w:color="auto"/>
      </w:divBdr>
    </w:div>
    <w:div w:id="645162502">
      <w:bodyDiv w:val="1"/>
      <w:marLeft w:val="0"/>
      <w:marRight w:val="0"/>
      <w:marTop w:val="0"/>
      <w:marBottom w:val="0"/>
      <w:divBdr>
        <w:top w:val="none" w:sz="0" w:space="0" w:color="auto"/>
        <w:left w:val="none" w:sz="0" w:space="0" w:color="auto"/>
        <w:bottom w:val="none" w:sz="0" w:space="0" w:color="auto"/>
        <w:right w:val="none" w:sz="0" w:space="0" w:color="auto"/>
      </w:divBdr>
    </w:div>
    <w:div w:id="681975621">
      <w:bodyDiv w:val="1"/>
      <w:marLeft w:val="0"/>
      <w:marRight w:val="0"/>
      <w:marTop w:val="0"/>
      <w:marBottom w:val="0"/>
      <w:divBdr>
        <w:top w:val="none" w:sz="0" w:space="0" w:color="auto"/>
        <w:left w:val="none" w:sz="0" w:space="0" w:color="auto"/>
        <w:bottom w:val="none" w:sz="0" w:space="0" w:color="auto"/>
        <w:right w:val="none" w:sz="0" w:space="0" w:color="auto"/>
      </w:divBdr>
    </w:div>
    <w:div w:id="701134397">
      <w:bodyDiv w:val="1"/>
      <w:marLeft w:val="0"/>
      <w:marRight w:val="0"/>
      <w:marTop w:val="0"/>
      <w:marBottom w:val="0"/>
      <w:divBdr>
        <w:top w:val="none" w:sz="0" w:space="0" w:color="auto"/>
        <w:left w:val="none" w:sz="0" w:space="0" w:color="auto"/>
        <w:bottom w:val="none" w:sz="0" w:space="0" w:color="auto"/>
        <w:right w:val="none" w:sz="0" w:space="0" w:color="auto"/>
      </w:divBdr>
      <w:divsChild>
        <w:div w:id="399987869">
          <w:marLeft w:val="0"/>
          <w:marRight w:val="0"/>
          <w:marTop w:val="0"/>
          <w:marBottom w:val="0"/>
          <w:divBdr>
            <w:top w:val="none" w:sz="0" w:space="0" w:color="auto"/>
            <w:left w:val="none" w:sz="0" w:space="0" w:color="auto"/>
            <w:bottom w:val="none" w:sz="0" w:space="0" w:color="auto"/>
            <w:right w:val="none" w:sz="0" w:space="0" w:color="auto"/>
          </w:divBdr>
        </w:div>
      </w:divsChild>
    </w:div>
    <w:div w:id="753670925">
      <w:bodyDiv w:val="1"/>
      <w:marLeft w:val="0"/>
      <w:marRight w:val="0"/>
      <w:marTop w:val="0"/>
      <w:marBottom w:val="0"/>
      <w:divBdr>
        <w:top w:val="none" w:sz="0" w:space="0" w:color="auto"/>
        <w:left w:val="none" w:sz="0" w:space="0" w:color="auto"/>
        <w:bottom w:val="none" w:sz="0" w:space="0" w:color="auto"/>
        <w:right w:val="none" w:sz="0" w:space="0" w:color="auto"/>
      </w:divBdr>
    </w:div>
    <w:div w:id="801769987">
      <w:bodyDiv w:val="1"/>
      <w:marLeft w:val="0"/>
      <w:marRight w:val="0"/>
      <w:marTop w:val="0"/>
      <w:marBottom w:val="0"/>
      <w:divBdr>
        <w:top w:val="none" w:sz="0" w:space="0" w:color="auto"/>
        <w:left w:val="none" w:sz="0" w:space="0" w:color="auto"/>
        <w:bottom w:val="none" w:sz="0" w:space="0" w:color="auto"/>
        <w:right w:val="none" w:sz="0" w:space="0" w:color="auto"/>
      </w:divBdr>
    </w:div>
    <w:div w:id="804541113">
      <w:bodyDiv w:val="1"/>
      <w:marLeft w:val="0"/>
      <w:marRight w:val="0"/>
      <w:marTop w:val="0"/>
      <w:marBottom w:val="0"/>
      <w:divBdr>
        <w:top w:val="none" w:sz="0" w:space="0" w:color="auto"/>
        <w:left w:val="none" w:sz="0" w:space="0" w:color="auto"/>
        <w:bottom w:val="none" w:sz="0" w:space="0" w:color="auto"/>
        <w:right w:val="none" w:sz="0" w:space="0" w:color="auto"/>
      </w:divBdr>
    </w:div>
    <w:div w:id="811865626">
      <w:bodyDiv w:val="1"/>
      <w:marLeft w:val="0"/>
      <w:marRight w:val="0"/>
      <w:marTop w:val="0"/>
      <w:marBottom w:val="0"/>
      <w:divBdr>
        <w:top w:val="none" w:sz="0" w:space="0" w:color="auto"/>
        <w:left w:val="none" w:sz="0" w:space="0" w:color="auto"/>
        <w:bottom w:val="none" w:sz="0" w:space="0" w:color="auto"/>
        <w:right w:val="none" w:sz="0" w:space="0" w:color="auto"/>
      </w:divBdr>
    </w:div>
    <w:div w:id="910895503">
      <w:bodyDiv w:val="1"/>
      <w:marLeft w:val="0"/>
      <w:marRight w:val="0"/>
      <w:marTop w:val="0"/>
      <w:marBottom w:val="0"/>
      <w:divBdr>
        <w:top w:val="none" w:sz="0" w:space="0" w:color="auto"/>
        <w:left w:val="none" w:sz="0" w:space="0" w:color="auto"/>
        <w:bottom w:val="none" w:sz="0" w:space="0" w:color="auto"/>
        <w:right w:val="none" w:sz="0" w:space="0" w:color="auto"/>
      </w:divBdr>
    </w:div>
    <w:div w:id="982392222">
      <w:bodyDiv w:val="1"/>
      <w:marLeft w:val="0"/>
      <w:marRight w:val="0"/>
      <w:marTop w:val="0"/>
      <w:marBottom w:val="0"/>
      <w:divBdr>
        <w:top w:val="none" w:sz="0" w:space="0" w:color="auto"/>
        <w:left w:val="none" w:sz="0" w:space="0" w:color="auto"/>
        <w:bottom w:val="none" w:sz="0" w:space="0" w:color="auto"/>
        <w:right w:val="none" w:sz="0" w:space="0" w:color="auto"/>
      </w:divBdr>
    </w:div>
    <w:div w:id="1137067103">
      <w:bodyDiv w:val="1"/>
      <w:marLeft w:val="0"/>
      <w:marRight w:val="0"/>
      <w:marTop w:val="0"/>
      <w:marBottom w:val="0"/>
      <w:divBdr>
        <w:top w:val="none" w:sz="0" w:space="0" w:color="auto"/>
        <w:left w:val="none" w:sz="0" w:space="0" w:color="auto"/>
        <w:bottom w:val="none" w:sz="0" w:space="0" w:color="auto"/>
        <w:right w:val="none" w:sz="0" w:space="0" w:color="auto"/>
      </w:divBdr>
    </w:div>
    <w:div w:id="1182014261">
      <w:bodyDiv w:val="1"/>
      <w:marLeft w:val="0"/>
      <w:marRight w:val="0"/>
      <w:marTop w:val="0"/>
      <w:marBottom w:val="0"/>
      <w:divBdr>
        <w:top w:val="none" w:sz="0" w:space="0" w:color="auto"/>
        <w:left w:val="none" w:sz="0" w:space="0" w:color="auto"/>
        <w:bottom w:val="none" w:sz="0" w:space="0" w:color="auto"/>
        <w:right w:val="none" w:sz="0" w:space="0" w:color="auto"/>
      </w:divBdr>
    </w:div>
    <w:div w:id="1247693016">
      <w:bodyDiv w:val="1"/>
      <w:marLeft w:val="0"/>
      <w:marRight w:val="0"/>
      <w:marTop w:val="0"/>
      <w:marBottom w:val="0"/>
      <w:divBdr>
        <w:top w:val="none" w:sz="0" w:space="0" w:color="auto"/>
        <w:left w:val="none" w:sz="0" w:space="0" w:color="auto"/>
        <w:bottom w:val="none" w:sz="0" w:space="0" w:color="auto"/>
        <w:right w:val="none" w:sz="0" w:space="0" w:color="auto"/>
      </w:divBdr>
    </w:div>
    <w:div w:id="1254824632">
      <w:bodyDiv w:val="1"/>
      <w:marLeft w:val="0"/>
      <w:marRight w:val="0"/>
      <w:marTop w:val="0"/>
      <w:marBottom w:val="0"/>
      <w:divBdr>
        <w:top w:val="none" w:sz="0" w:space="0" w:color="auto"/>
        <w:left w:val="none" w:sz="0" w:space="0" w:color="auto"/>
        <w:bottom w:val="none" w:sz="0" w:space="0" w:color="auto"/>
        <w:right w:val="none" w:sz="0" w:space="0" w:color="auto"/>
      </w:divBdr>
    </w:div>
    <w:div w:id="1283226420">
      <w:bodyDiv w:val="1"/>
      <w:marLeft w:val="0"/>
      <w:marRight w:val="0"/>
      <w:marTop w:val="0"/>
      <w:marBottom w:val="0"/>
      <w:divBdr>
        <w:top w:val="none" w:sz="0" w:space="0" w:color="auto"/>
        <w:left w:val="none" w:sz="0" w:space="0" w:color="auto"/>
        <w:bottom w:val="none" w:sz="0" w:space="0" w:color="auto"/>
        <w:right w:val="none" w:sz="0" w:space="0" w:color="auto"/>
      </w:divBdr>
    </w:div>
    <w:div w:id="1353535232">
      <w:bodyDiv w:val="1"/>
      <w:marLeft w:val="0"/>
      <w:marRight w:val="0"/>
      <w:marTop w:val="0"/>
      <w:marBottom w:val="0"/>
      <w:divBdr>
        <w:top w:val="none" w:sz="0" w:space="0" w:color="auto"/>
        <w:left w:val="none" w:sz="0" w:space="0" w:color="auto"/>
        <w:bottom w:val="none" w:sz="0" w:space="0" w:color="auto"/>
        <w:right w:val="none" w:sz="0" w:space="0" w:color="auto"/>
      </w:divBdr>
    </w:div>
    <w:div w:id="1367288843">
      <w:bodyDiv w:val="1"/>
      <w:marLeft w:val="0"/>
      <w:marRight w:val="0"/>
      <w:marTop w:val="0"/>
      <w:marBottom w:val="0"/>
      <w:divBdr>
        <w:top w:val="none" w:sz="0" w:space="0" w:color="auto"/>
        <w:left w:val="none" w:sz="0" w:space="0" w:color="auto"/>
        <w:bottom w:val="none" w:sz="0" w:space="0" w:color="auto"/>
        <w:right w:val="none" w:sz="0" w:space="0" w:color="auto"/>
      </w:divBdr>
    </w:div>
    <w:div w:id="1452477385">
      <w:bodyDiv w:val="1"/>
      <w:marLeft w:val="0"/>
      <w:marRight w:val="0"/>
      <w:marTop w:val="0"/>
      <w:marBottom w:val="0"/>
      <w:divBdr>
        <w:top w:val="none" w:sz="0" w:space="0" w:color="auto"/>
        <w:left w:val="none" w:sz="0" w:space="0" w:color="auto"/>
        <w:bottom w:val="none" w:sz="0" w:space="0" w:color="auto"/>
        <w:right w:val="none" w:sz="0" w:space="0" w:color="auto"/>
      </w:divBdr>
      <w:divsChild>
        <w:div w:id="185679425">
          <w:marLeft w:val="0"/>
          <w:marRight w:val="0"/>
          <w:marTop w:val="0"/>
          <w:marBottom w:val="0"/>
          <w:divBdr>
            <w:top w:val="none" w:sz="0" w:space="0" w:color="auto"/>
            <w:left w:val="none" w:sz="0" w:space="0" w:color="auto"/>
            <w:bottom w:val="none" w:sz="0" w:space="0" w:color="auto"/>
            <w:right w:val="none" w:sz="0" w:space="0" w:color="auto"/>
          </w:divBdr>
        </w:div>
      </w:divsChild>
    </w:div>
    <w:div w:id="1513686028">
      <w:bodyDiv w:val="1"/>
      <w:marLeft w:val="0"/>
      <w:marRight w:val="0"/>
      <w:marTop w:val="0"/>
      <w:marBottom w:val="0"/>
      <w:divBdr>
        <w:top w:val="none" w:sz="0" w:space="0" w:color="auto"/>
        <w:left w:val="none" w:sz="0" w:space="0" w:color="auto"/>
        <w:bottom w:val="none" w:sz="0" w:space="0" w:color="auto"/>
        <w:right w:val="none" w:sz="0" w:space="0" w:color="auto"/>
      </w:divBdr>
    </w:div>
    <w:div w:id="1521511752">
      <w:bodyDiv w:val="1"/>
      <w:marLeft w:val="0"/>
      <w:marRight w:val="0"/>
      <w:marTop w:val="0"/>
      <w:marBottom w:val="0"/>
      <w:divBdr>
        <w:top w:val="none" w:sz="0" w:space="0" w:color="auto"/>
        <w:left w:val="none" w:sz="0" w:space="0" w:color="auto"/>
        <w:bottom w:val="none" w:sz="0" w:space="0" w:color="auto"/>
        <w:right w:val="none" w:sz="0" w:space="0" w:color="auto"/>
      </w:divBdr>
    </w:div>
    <w:div w:id="1526558675">
      <w:bodyDiv w:val="1"/>
      <w:marLeft w:val="0"/>
      <w:marRight w:val="0"/>
      <w:marTop w:val="0"/>
      <w:marBottom w:val="0"/>
      <w:divBdr>
        <w:top w:val="none" w:sz="0" w:space="0" w:color="auto"/>
        <w:left w:val="none" w:sz="0" w:space="0" w:color="auto"/>
        <w:bottom w:val="none" w:sz="0" w:space="0" w:color="auto"/>
        <w:right w:val="none" w:sz="0" w:space="0" w:color="auto"/>
      </w:divBdr>
    </w:div>
    <w:div w:id="1534491350">
      <w:bodyDiv w:val="1"/>
      <w:marLeft w:val="0"/>
      <w:marRight w:val="0"/>
      <w:marTop w:val="0"/>
      <w:marBottom w:val="0"/>
      <w:divBdr>
        <w:top w:val="none" w:sz="0" w:space="0" w:color="auto"/>
        <w:left w:val="none" w:sz="0" w:space="0" w:color="auto"/>
        <w:bottom w:val="none" w:sz="0" w:space="0" w:color="auto"/>
        <w:right w:val="none" w:sz="0" w:space="0" w:color="auto"/>
      </w:divBdr>
      <w:divsChild>
        <w:div w:id="229970797">
          <w:marLeft w:val="0"/>
          <w:marRight w:val="0"/>
          <w:marTop w:val="0"/>
          <w:marBottom w:val="0"/>
          <w:divBdr>
            <w:top w:val="none" w:sz="0" w:space="0" w:color="auto"/>
            <w:left w:val="none" w:sz="0" w:space="0" w:color="auto"/>
            <w:bottom w:val="none" w:sz="0" w:space="0" w:color="auto"/>
            <w:right w:val="none" w:sz="0" w:space="0" w:color="auto"/>
          </w:divBdr>
        </w:div>
      </w:divsChild>
    </w:div>
    <w:div w:id="1535189568">
      <w:bodyDiv w:val="1"/>
      <w:marLeft w:val="0"/>
      <w:marRight w:val="0"/>
      <w:marTop w:val="0"/>
      <w:marBottom w:val="0"/>
      <w:divBdr>
        <w:top w:val="none" w:sz="0" w:space="0" w:color="auto"/>
        <w:left w:val="none" w:sz="0" w:space="0" w:color="auto"/>
        <w:bottom w:val="none" w:sz="0" w:space="0" w:color="auto"/>
        <w:right w:val="none" w:sz="0" w:space="0" w:color="auto"/>
      </w:divBdr>
    </w:div>
    <w:div w:id="1562788062">
      <w:bodyDiv w:val="1"/>
      <w:marLeft w:val="0"/>
      <w:marRight w:val="0"/>
      <w:marTop w:val="0"/>
      <w:marBottom w:val="0"/>
      <w:divBdr>
        <w:top w:val="none" w:sz="0" w:space="0" w:color="auto"/>
        <w:left w:val="none" w:sz="0" w:space="0" w:color="auto"/>
        <w:bottom w:val="none" w:sz="0" w:space="0" w:color="auto"/>
        <w:right w:val="none" w:sz="0" w:space="0" w:color="auto"/>
      </w:divBdr>
    </w:div>
    <w:div w:id="1631353887">
      <w:bodyDiv w:val="1"/>
      <w:marLeft w:val="0"/>
      <w:marRight w:val="0"/>
      <w:marTop w:val="0"/>
      <w:marBottom w:val="0"/>
      <w:divBdr>
        <w:top w:val="none" w:sz="0" w:space="0" w:color="auto"/>
        <w:left w:val="none" w:sz="0" w:space="0" w:color="auto"/>
        <w:bottom w:val="none" w:sz="0" w:space="0" w:color="auto"/>
        <w:right w:val="none" w:sz="0" w:space="0" w:color="auto"/>
      </w:divBdr>
    </w:div>
    <w:div w:id="1632977369">
      <w:bodyDiv w:val="1"/>
      <w:marLeft w:val="0"/>
      <w:marRight w:val="0"/>
      <w:marTop w:val="0"/>
      <w:marBottom w:val="0"/>
      <w:divBdr>
        <w:top w:val="none" w:sz="0" w:space="0" w:color="auto"/>
        <w:left w:val="none" w:sz="0" w:space="0" w:color="auto"/>
        <w:bottom w:val="none" w:sz="0" w:space="0" w:color="auto"/>
        <w:right w:val="none" w:sz="0" w:space="0" w:color="auto"/>
      </w:divBdr>
    </w:div>
    <w:div w:id="1729719712">
      <w:bodyDiv w:val="1"/>
      <w:marLeft w:val="0"/>
      <w:marRight w:val="0"/>
      <w:marTop w:val="0"/>
      <w:marBottom w:val="0"/>
      <w:divBdr>
        <w:top w:val="none" w:sz="0" w:space="0" w:color="auto"/>
        <w:left w:val="none" w:sz="0" w:space="0" w:color="auto"/>
        <w:bottom w:val="none" w:sz="0" w:space="0" w:color="auto"/>
        <w:right w:val="none" w:sz="0" w:space="0" w:color="auto"/>
      </w:divBdr>
    </w:div>
    <w:div w:id="1771509476">
      <w:bodyDiv w:val="1"/>
      <w:marLeft w:val="0"/>
      <w:marRight w:val="0"/>
      <w:marTop w:val="0"/>
      <w:marBottom w:val="0"/>
      <w:divBdr>
        <w:top w:val="none" w:sz="0" w:space="0" w:color="auto"/>
        <w:left w:val="none" w:sz="0" w:space="0" w:color="auto"/>
        <w:bottom w:val="none" w:sz="0" w:space="0" w:color="auto"/>
        <w:right w:val="none" w:sz="0" w:space="0" w:color="auto"/>
      </w:divBdr>
    </w:div>
    <w:div w:id="1794909171">
      <w:bodyDiv w:val="1"/>
      <w:marLeft w:val="0"/>
      <w:marRight w:val="0"/>
      <w:marTop w:val="0"/>
      <w:marBottom w:val="0"/>
      <w:divBdr>
        <w:top w:val="none" w:sz="0" w:space="0" w:color="auto"/>
        <w:left w:val="none" w:sz="0" w:space="0" w:color="auto"/>
        <w:bottom w:val="none" w:sz="0" w:space="0" w:color="auto"/>
        <w:right w:val="none" w:sz="0" w:space="0" w:color="auto"/>
      </w:divBdr>
    </w:div>
    <w:div w:id="1852836415">
      <w:bodyDiv w:val="1"/>
      <w:marLeft w:val="0"/>
      <w:marRight w:val="0"/>
      <w:marTop w:val="0"/>
      <w:marBottom w:val="0"/>
      <w:divBdr>
        <w:top w:val="none" w:sz="0" w:space="0" w:color="auto"/>
        <w:left w:val="none" w:sz="0" w:space="0" w:color="auto"/>
        <w:bottom w:val="none" w:sz="0" w:space="0" w:color="auto"/>
        <w:right w:val="none" w:sz="0" w:space="0" w:color="auto"/>
      </w:divBdr>
    </w:div>
    <w:div w:id="1911844389">
      <w:bodyDiv w:val="1"/>
      <w:marLeft w:val="0"/>
      <w:marRight w:val="0"/>
      <w:marTop w:val="0"/>
      <w:marBottom w:val="0"/>
      <w:divBdr>
        <w:top w:val="none" w:sz="0" w:space="0" w:color="auto"/>
        <w:left w:val="none" w:sz="0" w:space="0" w:color="auto"/>
        <w:bottom w:val="none" w:sz="0" w:space="0" w:color="auto"/>
        <w:right w:val="none" w:sz="0" w:space="0" w:color="auto"/>
      </w:divBdr>
    </w:div>
    <w:div w:id="1918249963">
      <w:bodyDiv w:val="1"/>
      <w:marLeft w:val="0"/>
      <w:marRight w:val="0"/>
      <w:marTop w:val="0"/>
      <w:marBottom w:val="0"/>
      <w:divBdr>
        <w:top w:val="none" w:sz="0" w:space="0" w:color="auto"/>
        <w:left w:val="none" w:sz="0" w:space="0" w:color="auto"/>
        <w:bottom w:val="none" w:sz="0" w:space="0" w:color="auto"/>
        <w:right w:val="none" w:sz="0" w:space="0" w:color="auto"/>
      </w:divBdr>
    </w:div>
    <w:div w:id="1967466844">
      <w:bodyDiv w:val="1"/>
      <w:marLeft w:val="0"/>
      <w:marRight w:val="0"/>
      <w:marTop w:val="0"/>
      <w:marBottom w:val="0"/>
      <w:divBdr>
        <w:top w:val="none" w:sz="0" w:space="0" w:color="auto"/>
        <w:left w:val="none" w:sz="0" w:space="0" w:color="auto"/>
        <w:bottom w:val="none" w:sz="0" w:space="0" w:color="auto"/>
        <w:right w:val="none" w:sz="0" w:space="0" w:color="auto"/>
      </w:divBdr>
    </w:div>
    <w:div w:id="2060474828">
      <w:bodyDiv w:val="1"/>
      <w:marLeft w:val="0"/>
      <w:marRight w:val="0"/>
      <w:marTop w:val="0"/>
      <w:marBottom w:val="0"/>
      <w:divBdr>
        <w:top w:val="none" w:sz="0" w:space="0" w:color="auto"/>
        <w:left w:val="none" w:sz="0" w:space="0" w:color="auto"/>
        <w:bottom w:val="none" w:sz="0" w:space="0" w:color="auto"/>
        <w:right w:val="none" w:sz="0" w:space="0" w:color="auto"/>
      </w:divBdr>
    </w:div>
    <w:div w:id="2070810927">
      <w:bodyDiv w:val="1"/>
      <w:marLeft w:val="0"/>
      <w:marRight w:val="0"/>
      <w:marTop w:val="0"/>
      <w:marBottom w:val="0"/>
      <w:divBdr>
        <w:top w:val="none" w:sz="0" w:space="0" w:color="auto"/>
        <w:left w:val="none" w:sz="0" w:space="0" w:color="auto"/>
        <w:bottom w:val="none" w:sz="0" w:space="0" w:color="auto"/>
        <w:right w:val="none" w:sz="0" w:space="0" w:color="auto"/>
      </w:divBdr>
    </w:div>
    <w:div w:id="2076539569">
      <w:bodyDiv w:val="1"/>
      <w:marLeft w:val="0"/>
      <w:marRight w:val="0"/>
      <w:marTop w:val="0"/>
      <w:marBottom w:val="0"/>
      <w:divBdr>
        <w:top w:val="none" w:sz="0" w:space="0" w:color="auto"/>
        <w:left w:val="none" w:sz="0" w:space="0" w:color="auto"/>
        <w:bottom w:val="none" w:sz="0" w:space="0" w:color="auto"/>
        <w:right w:val="none" w:sz="0" w:space="0" w:color="auto"/>
      </w:divBdr>
    </w:div>
    <w:div w:id="2086680415">
      <w:bodyDiv w:val="1"/>
      <w:marLeft w:val="0"/>
      <w:marRight w:val="0"/>
      <w:marTop w:val="0"/>
      <w:marBottom w:val="0"/>
      <w:divBdr>
        <w:top w:val="none" w:sz="0" w:space="0" w:color="auto"/>
        <w:left w:val="none" w:sz="0" w:space="0" w:color="auto"/>
        <w:bottom w:val="none" w:sz="0" w:space="0" w:color="auto"/>
        <w:right w:val="none" w:sz="0" w:space="0" w:color="auto"/>
      </w:divBdr>
    </w:div>
    <w:div w:id="212199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994E3-0052-4FFD-886A-0B4CDC529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19</Pages>
  <Words>4609</Words>
  <Characters>26276</Characters>
  <Application>Microsoft Office Word</Application>
  <DocSecurity>0</DocSecurity>
  <Lines>218</Lines>
  <Paragraphs>61</Paragraphs>
  <ScaleCrop>false</ScaleCrop>
  <HeadingPairs>
    <vt:vector size="6" baseType="variant">
      <vt:variant>
        <vt:lpstr>Title</vt:lpstr>
      </vt:variant>
      <vt:variant>
        <vt:i4>1</vt:i4>
      </vt:variant>
      <vt:variant>
        <vt:lpstr>العنوان</vt:lpstr>
      </vt:variant>
      <vt:variant>
        <vt:i4>1</vt:i4>
      </vt:variant>
      <vt:variant>
        <vt:lpstr>Τίτλος</vt:lpstr>
      </vt:variant>
      <vt:variant>
        <vt:i4>1</vt:i4>
      </vt:variant>
    </vt:vector>
  </HeadingPairs>
  <TitlesOfParts>
    <vt:vector size="3" baseType="lpstr">
      <vt:lpstr/>
      <vt:lpstr/>
      <vt:lpstr/>
    </vt:vector>
  </TitlesOfParts>
  <Company>HP Inc.</Company>
  <LinksUpToDate>false</LinksUpToDate>
  <CharactersWithSpaces>30824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Rawya Alawneh</cp:lastModifiedBy>
  <cp:revision>10</cp:revision>
  <cp:lastPrinted>2020-08-10T07:07:00Z</cp:lastPrinted>
  <dcterms:created xsi:type="dcterms:W3CDTF">2020-08-05T06:35:00Z</dcterms:created>
  <dcterms:modified xsi:type="dcterms:W3CDTF">2020-08-19T09:37:00Z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http://www.zotero.org/styles/journal-of-rural-studies</vt:lpwstr>
  </property>
  <property fmtid="{D5CDD505-2E9C-101B-9397-08002B2CF9AE}" pid="15" name="Mendeley Recent Style Name 6_1">
    <vt:lpwstr>Journal of Rural Studies</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